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Normal"/>
      </w:pPr>
      <w:r>
        <w:rPr>
          <w:sz w:val="24"/>
        </w:rPr>
      </w:r>
    </w:p>
    <w:p>
      <w:pPr>
        <w:pStyle w:val="Normal"/>
      </w:pPr>
      <w:r>
        <w:rPr>
          <w:sz w:val="24"/>
        </w:rPr>
      </w:r>
    </w:p>
    <w:p>
      <w:pPr>
        <w:pStyle w:val="Normal"/>
      </w:pPr>
      <w:r>
        <w:rPr>
          <w:sz w:val="24"/>
        </w:rPr>
      </w:r>
    </w:p>
    <w:p>
      <w:pPr>
        <w:pStyle w:val="Normal"/>
      </w:pPr>
      <w:r>
        <w:rPr>
          <w:sz w:val="24"/>
        </w:rPr>
        <w:t>Pro Se , Tinika Se'Cal Warren</w:t>
      </w:r>
    </w:p>
    <w:p>
      <w:pPr>
        <w:pStyle w:val="Normal"/>
      </w:pPr>
      <w:r>
        <w:rPr>
          <w:sz w:val="24"/>
        </w:rPr>
        <w:t>7437 Garners Ferry Road</w:t>
      </w:r>
    </w:p>
    <w:p>
      <w:pPr>
        <w:pStyle w:val="Normal"/>
      </w:pPr>
      <w:r>
        <w:rPr>
          <w:sz w:val="24"/>
        </w:rPr>
        <w:t>Columbia, SC 29209</w:t>
      </w:r>
    </w:p>
    <w:p>
      <w:pPr>
        <w:pStyle w:val="Normal"/>
      </w:pPr>
      <w:r>
        <w:rPr>
          <w:sz w:val="24"/>
        </w:rPr>
        <w:t>803-696-0544</w:t>
      </w:r>
    </w:p>
    <w:p>
      <w:pPr>
        <w:pStyle w:val="Normal"/>
      </w:pPr>
      <w:r>
        <w:rPr>
          <w:sz w:val="24"/>
        </w:rPr>
        <w:t>tinikacareers2022@gmail.com</w:t>
      </w:r>
    </w:p>
    <w:p>
      <w:pPr>
        <w:pStyle w:val="Normal"/>
      </w:pPr>
      <w:r/>
    </w:p>
    <w:p>
      <w:pPr>
        <w:pStyle w:val="Normal"/>
      </w:pPr>
      <w:r>
        <w:t>Tinika Se'Cal Warren                                                 South Carolina Federal Court</w:t>
      </w:r>
    </w:p>
    <w:p>
      <w:pPr>
        <w:pStyle w:val="Normal"/>
      </w:pPr>
      <w:r>
        <w:t xml:space="preserve">                                                                                   Jurisdiction, Case No.: </w:t>
      </w:r>
    </w:p>
    <w:p>
      <w:pPr>
        <w:pStyle w:val="Normal"/>
      </w:pPr>
      <w:r>
        <w:t xml:space="preserve">                                                                             </w:t>
      </w:r>
    </w:p>
    <w:p>
      <w:pPr>
        <w:pStyle w:val="Normal"/>
      </w:pPr>
      <w:r>
        <w:t xml:space="preserve">                                               </w:t>
      </w:r>
    </w:p>
    <w:p>
      <w:pPr>
        <w:pStyle w:val="Normal"/>
      </w:pPr>
      <w:r/>
    </w:p>
    <w:p>
      <w:pPr>
        <w:pStyle w:val="Normal"/>
      </w:pPr>
      <w:r>
        <w:t>Plaintiff,</w:t>
      </w:r>
    </w:p>
    <w:p>
      <w:pPr>
        <w:pStyle w:val="Normal"/>
      </w:pPr>
      <w:r/>
    </w:p>
    <w:p>
      <w:pPr>
        <w:pStyle w:val="Normal"/>
      </w:pPr>
      <w:r>
        <w:t>vs.</w:t>
      </w:r>
    </w:p>
    <w:p>
      <w:pPr>
        <w:pStyle w:val="Normal"/>
      </w:pPr>
      <w:r/>
    </w:p>
    <w:p>
      <w:pPr>
        <w:pStyle w:val="Normal"/>
      </w:pPr>
      <w:r/>
    </w:p>
    <w:p>
      <w:pPr>
        <w:pStyle w:val="Normal"/>
      </w:pPr>
      <w:r>
        <w:t>SC Housing, Columbia SC</w:t>
      </w:r>
    </w:p>
    <w:p>
      <w:pPr>
        <w:pStyle w:val="Normal"/>
      </w:pPr>
      <w:r>
        <w:t>Housing Authority, ET AL</w:t>
      </w:r>
    </w:p>
    <w:p>
      <w:pPr>
        <w:pStyle w:val="Normal"/>
      </w:pPr>
      <w:r>
        <w:t>Transitions Homeless</w:t>
      </w:r>
    </w:p>
    <w:p>
      <w:pPr>
        <w:pStyle w:val="Normal"/>
      </w:pPr>
      <w:r>
        <w:t xml:space="preserve">Shelter, Lenzy Mooris, </w:t>
      </w:r>
    </w:p>
    <w:p>
      <w:pPr>
        <w:pStyle w:val="Normal"/>
      </w:pPr>
      <w:r>
        <w:t xml:space="preserve">Elandra Alie-Inglis, </w:t>
      </w:r>
    </w:p>
    <w:p>
      <w:pPr>
        <w:pStyle w:val="Normal"/>
      </w:pPr>
      <w:r/>
    </w:p>
    <w:p>
      <w:pPr>
        <w:pStyle w:val="Normal"/>
      </w:pPr>
      <w:r/>
    </w:p>
    <w:p>
      <w:pPr>
        <w:pStyle w:val="Normal"/>
      </w:pPr>
      <w:r/>
    </w:p>
    <w:p>
      <w:pPr>
        <w:pStyle w:val="Normal"/>
      </w:pPr>
      <w:r/>
    </w:p>
    <w:p>
      <w:pPr>
        <w:pStyle w:val="Normal"/>
      </w:pPr>
      <w:r>
        <w:t>Cause of Action:  Occupational Safety and Health Act (OSH Act), Section 11(c)</w:t>
      </w:r>
    </w:p>
    <w:p>
      <w:pPr>
        <w:pStyle w:val="Normal"/>
      </w:pPr>
      <w:r>
        <w:t>29 U.S.C. §660(c), chapter 7 bankruptcy, inviolation to 11 U.S. Code § 525 -, Fair Housing Act, Section 504 ,</w:t>
      </w:r>
    </w:p>
    <w:p>
      <w:pPr>
        <w:pStyle w:val="Normal"/>
      </w:pPr>
      <w:r/>
    </w:p>
    <w:p>
      <w:pPr>
        <w:pStyle w:val="Normal"/>
      </w:pPr>
      <w:r/>
    </w:p>
    <w:p>
      <w:pPr>
        <w:pStyle w:val="Normal"/>
      </w:pPr>
      <w:r/>
    </w:p>
    <w:p>
      <w:pPr>
        <w:pStyle w:val="Normal"/>
        <w:rPr>
          <w:b/>
        </w:rPr>
      </w:pPr>
      <w:r>
        <w:rPr>
          <w:b/>
        </w:rPr>
      </w:r>
    </w:p>
    <w:p>
      <w:pPr>
        <w:pStyle w:val="Normal"/>
        <w:rPr>
          <w:b/>
        </w:rPr>
      </w:pPr>
      <w:r>
        <w:rPr>
          <w:b/>
        </w:rPr>
        <w:t>Pleading:</w:t>
      </w:r>
    </w:p>
    <w:p>
      <w:pPr>
        <w:pStyle w:val="Normal"/>
      </w:pPr>
      <w:r/>
    </w:p>
    <w:p>
      <w:pPr>
        <w:pStyle w:val="Normal"/>
      </w:pPr>
      <w:r>
        <w:rPr>
          <w:b/>
        </w:rPr>
        <w:t>The Fair Housing Act</w:t>
      </w:r>
      <w:r>
        <w:t>, as amended in 1988, prohibits housing discrimination on the basis of race, color, religion, sex, disability, familial status, and national origin. Its coverage includes private housing, housing that receives Federal financial assistance, and State and local government housing</w:t>
      </w:r>
    </w:p>
    <w:p>
      <w:pPr>
        <w:pStyle w:val="Normal"/>
      </w:pPr>
      <w:r/>
    </w:p>
    <w:p>
      <w:pPr>
        <w:pStyle w:val="Normal"/>
      </w:pPr>
      <w:r>
        <w:t>Examples: All were failed in this case</w:t>
      </w:r>
    </w:p>
    <w:p>
      <w:pPr>
        <w:pStyle w:val="Normal"/>
      </w:pPr>
      <w:r>
        <w:t>Assigning an accessible parking space for a person with a mobility impairment</w:t>
      </w:r>
    </w:p>
    <w:p>
      <w:pPr>
        <w:pStyle w:val="Normal"/>
      </w:pPr>
      <w:r>
        <w:t>Permitting a tenant to transfer to a ground-floor unit</w:t>
      </w:r>
    </w:p>
    <w:p>
      <w:pPr>
        <w:pStyle w:val="Normal"/>
      </w:pPr>
      <w:r>
        <w:t>Adjusting a rent payment schedule to accommodate when an individual receives income assistance</w:t>
      </w:r>
    </w:p>
    <w:p>
      <w:pPr>
        <w:pStyle w:val="Normal"/>
      </w:pPr>
      <w:r>
        <w:t>Adding a grab bar to a tenant’s bathroom</w:t>
      </w:r>
    </w:p>
    <w:p>
      <w:pPr>
        <w:pStyle w:val="Normal"/>
      </w:pPr>
      <w:r>
        <w:t>Permitting an applicant to submit a housing application via a different means</w:t>
      </w:r>
    </w:p>
    <w:p>
      <w:pPr>
        <w:pStyle w:val="Normal"/>
      </w:pPr>
      <w:r/>
    </w:p>
    <w:p>
      <w:pPr>
        <w:pStyle w:val="Normal"/>
      </w:pPr>
      <w:r>
        <w:rPr>
          <w:sz w:val="24"/>
        </w:rPr>
        <w:t>I am asking for the award from this agency in the amount of $ 3 million dollars as a separate award from all other</w:t>
      </w:r>
    </w:p>
    <w:p>
      <w:pPr>
        <w:pStyle w:val="Normal"/>
      </w:pPr>
      <w:r>
        <w:t>entitlements that are under my claims due to retaliation. I was told to complete one against each enitity and everyone</w:t>
      </w:r>
    </w:p>
    <w:p>
      <w:pPr>
        <w:pStyle w:val="Normal"/>
      </w:pPr>
      <w:r>
        <w:rPr>
          <w:sz w:val="24"/>
        </w:rPr>
        <w:t>that particiaptes in sabatoging my home, life, education and finances.</w:t>
      </w:r>
    </w:p>
    <w:p>
      <w:pPr>
        <w:pStyle w:val="Normal"/>
      </w:pPr>
      <w:r>
        <w:rPr>
          <w:sz w:val="24"/>
        </w:rPr>
        <w:t>Occupational Safety and Health Act (OSH Act), Section 11(c)</w:t>
      </w:r>
    </w:p>
    <w:p>
      <w:pPr>
        <w:pStyle w:val="Normal"/>
      </w:pPr>
      <w:r>
        <w:rPr>
          <w:sz w:val="24"/>
        </w:rPr>
        <w:t>29 U.S.C. §660(c)</w:t>
      </w:r>
    </w:p>
    <w:p>
      <w:pPr>
        <w:pStyle w:val="Normal"/>
      </w:pPr>
      <w:r>
        <w:rPr>
          <w:sz w:val="24"/>
        </w:rPr>
        <w:t>29 U.S.C. § 660(c)</w:t>
      </w:r>
    </w:p>
    <w:p>
      <w:pPr>
        <w:pStyle w:val="Normal"/>
      </w:pPr>
      <w:r>
        <w:rPr>
          <w:sz w:val="24"/>
        </w:rPr>
        <w:t>(1) I have been trained for FEMA Housing Inspections in 2015 or 2016 while residing in North Carolina and my Fingerprints can be found at the Atlanta , Georgia FEMA background checks location, that was</w:t>
      </w:r>
    </w:p>
    <w:p>
      <w:pPr>
        <w:pStyle w:val="Normal"/>
      </w:pPr>
      <w:r>
        <w:rPr>
          <w:sz w:val="24"/>
        </w:rPr>
        <w:t>scheduled by Barthemew out of the Virgina Headquaters office for background investigation; which also allows me to be a whistleblower under the OSH ACT.</w:t>
      </w:r>
    </w:p>
    <w:p>
      <w:pPr>
        <w:pStyle w:val="Normal"/>
      </w:pPr>
      <w:r>
        <w:rPr>
          <w:sz w:val="24"/>
        </w:rPr>
        <w:t>No person shall discharge or in any manner discriminate against any employee because such employee has filed any complaint or instituted or caused to be instituted any proceeding under or related to this Act or has testified or is about to</w:t>
      </w:r>
    </w:p>
    <w:p>
      <w:pPr>
        <w:pStyle w:val="Normal"/>
      </w:pPr>
      <w:r>
        <w:rPr>
          <w:sz w:val="24"/>
        </w:rPr>
        <w:t>testify in any such proceeding or because of the exercise by such employee on behalf of himself or others of any right afforded by this Act.</w:t>
      </w:r>
    </w:p>
    <w:p>
      <w:pPr>
        <w:pStyle w:val="Normal"/>
      </w:pPr>
      <w:r>
        <w:rPr>
          <w:sz w:val="24"/>
        </w:rPr>
        <w:t>(2)</w:t>
      </w:r>
    </w:p>
    <w:p>
      <w:pPr>
        <w:pStyle w:val="Normal"/>
      </w:pPr>
      <w:r>
        <w:rPr>
          <w:sz w:val="24"/>
        </w:rPr>
        <w:t>Any employee who believes that he has been discharged or otherwise discriminated against by any person in violation</w:t>
      </w:r>
    </w:p>
    <w:p>
      <w:pPr>
        <w:pStyle w:val="Normal"/>
      </w:pPr>
      <w:r>
        <w:rPr>
          <w:sz w:val="24"/>
        </w:rPr>
        <w:t>of this subsection may, within thirty days after such violation occurs, file a complaint with the Secretary alleging such</w:t>
      </w:r>
    </w:p>
    <w:p>
      <w:pPr>
        <w:pStyle w:val="Normal"/>
      </w:pPr>
      <w:r>
        <w:rPr>
          <w:sz w:val="24"/>
        </w:rPr>
        <w:t>discrimination. Upon receipt of such complaint, the Secretary shall cause such investigation to be made as he deems</w:t>
      </w:r>
    </w:p>
    <w:p>
      <w:pPr>
        <w:pStyle w:val="Normal"/>
      </w:pPr>
      <w:r>
        <w:rPr>
          <w:sz w:val="24"/>
        </w:rPr>
        <w:t>appropriate. If upon such investigation, the Secretary determines that the provisions of this subsection have been</w:t>
      </w:r>
    </w:p>
    <w:p>
      <w:pPr>
        <w:pStyle w:val="Normal"/>
      </w:pPr>
      <w:r>
        <w:rPr>
          <w:sz w:val="24"/>
        </w:rPr>
        <w:t>violated, he shall bring an action in any appropriate United States district court against such person. In any such action</w:t>
      </w:r>
    </w:p>
    <w:p>
      <w:pPr>
        <w:pStyle w:val="Normal"/>
      </w:pPr>
      <w:r>
        <w:rPr>
          <w:sz w:val="24"/>
        </w:rPr>
        <w:t>the United States district courts shall have jurisdiction, for cause shown to restrain violations of paragraph (1) of this</w:t>
      </w:r>
    </w:p>
    <w:p>
      <w:pPr>
        <w:pStyle w:val="Normal"/>
      </w:pPr>
      <w:r>
        <w:rPr>
          <w:sz w:val="24"/>
        </w:rPr>
        <w:t>subsection and order all appropriate relief including rehiring or reinstatement of the employee to his former position with</w:t>
      </w:r>
    </w:p>
    <w:p>
      <w:pPr>
        <w:pStyle w:val="Normal"/>
      </w:pPr>
      <w:r>
        <w:rPr>
          <w:sz w:val="24"/>
        </w:rPr>
        <w:t>back pay.</w:t>
      </w:r>
    </w:p>
    <w:p>
      <w:pPr>
        <w:pStyle w:val="Normal"/>
      </w:pPr>
      <w:r>
        <w:rPr>
          <w:sz w:val="24"/>
        </w:rPr>
        <w:t>(3)SABATOGE CASE reported to the OSHA, FBI and DOJ ask for HUD Right to SUE Letter, USDA Right to SUE</w:t>
      </w:r>
    </w:p>
    <w:p>
      <w:pPr>
        <w:pStyle w:val="Normal"/>
      </w:pPr>
      <w:r>
        <w:rPr>
          <w:sz w:val="24"/>
        </w:rPr>
        <w:t>Letter, DOJ email RIGHT to Sue, OSHA whistleblower letter. USDA and HUD Determenation leters, and the HUD</w:t>
      </w:r>
    </w:p>
    <w:p>
      <w:pPr>
        <w:pStyle w:val="Normal"/>
      </w:pPr>
      <w:r>
        <w:rPr>
          <w:sz w:val="24"/>
        </w:rPr>
        <w:t>Compliant letter.</w:t>
      </w:r>
    </w:p>
    <w:p>
      <w:pPr>
        <w:pStyle w:val="Normal"/>
      </w:pPr>
      <w:r>
        <w:rPr>
          <w:sz w:val="24"/>
        </w:rPr>
        <w:t>Failed to help me get a section 8 voucher with High Point Housing Authority or place me in a hotel as an accomodation.</w:t>
      </w:r>
    </w:p>
    <w:p>
      <w:pPr>
        <w:pStyle w:val="Normal"/>
      </w:pPr>
      <w:r>
        <w:rPr>
          <w:sz w:val="24"/>
        </w:rPr>
        <w:t>Within 90 days of the receipt of a complaint filed under this subsection the Secretary shall notify the complainant of his</w:t>
      </w:r>
    </w:p>
    <w:p>
      <w:pPr>
        <w:pStyle w:val="Normal"/>
      </w:pPr>
      <w:r>
        <w:rPr>
          <w:sz w:val="24"/>
        </w:rPr>
        <w:t>determination under paragraph 2 of this subsection.</w:t>
      </w:r>
    </w:p>
    <w:p>
      <w:pPr>
        <w:pStyle w:val="Normal"/>
      </w:pPr>
      <w:r>
        <w:rPr>
          <w:sz w:val="24"/>
        </w:rPr>
        <w:t>Failed to call me an ambulance when needed and kicked me out the shelter due to retailiation participation, when</w:t>
      </w:r>
    </w:p>
    <w:p>
      <w:pPr>
        <w:pStyle w:val="Normal"/>
      </w:pPr>
      <w:r>
        <w:rPr>
          <w:sz w:val="24"/>
        </w:rPr>
        <w:t>Maurice Handy HUD Columbia SC office, Debra F. Simpson for Greeensboro Housing Authority &amp; At&amp;T Telecommunications former employee, Vanessa</w:t>
      </w:r>
    </w:p>
    <w:p>
      <w:pPr>
        <w:pStyle w:val="Normal"/>
      </w:pPr>
      <w:r>
        <w:rPr>
          <w:sz w:val="24"/>
        </w:rPr>
        <w:t>Harrison for Greensboro Housing Authority employee,, Lacie Nicole Littele, Shapell Fryer Depreee, Larry Steven Dooley, and others that are participating finds out my new address and workplace that participates in the retaliation for me exercising my fair housinact rights,: Federal nondiscrimination</w:t>
      </w:r>
    </w:p>
    <w:p>
      <w:pPr>
        <w:pStyle w:val="Normal"/>
      </w:pPr>
      <w:r>
        <w:rPr>
          <w:sz w:val="24"/>
        </w:rPr>
        <w:t>laws provide housing protections for individuals withdisabilities. These protections apply in most private housing, state and local government housing, public housing and</w:t>
      </w:r>
    </w:p>
    <w:p>
      <w:pPr>
        <w:pStyle w:val="Normal"/>
      </w:pPr>
      <w:r>
        <w:rPr>
          <w:sz w:val="24"/>
        </w:rPr>
        <w:t>any other federally-assisted housing programs and activities. The Fair Housing Act prohibits discrimination in housing</w:t>
      </w:r>
    </w:p>
    <w:p>
      <w:pPr>
        <w:pStyle w:val="Normal"/>
      </w:pPr>
      <w:r>
        <w:rPr>
          <w:sz w:val="24"/>
        </w:rPr>
        <w:t>and housing-related transactions because of disability. Section 504 of the Rehabilitation Act prohibits discrimination on</w:t>
      </w:r>
    </w:p>
    <w:p>
      <w:pPr>
        <w:pStyle w:val="Normal"/>
      </w:pPr>
      <w:r>
        <w:rPr>
          <w:sz w:val="24"/>
        </w:rPr>
        <w:t>the basis of disability in any program or activity receiving federal financial assistance. Titles II and III of the Americans</w:t>
      </w:r>
    </w:p>
    <w:p>
      <w:pPr>
        <w:pStyle w:val="Normal"/>
      </w:pPr>
      <w:r>
        <w:rPr>
          <w:sz w:val="24"/>
        </w:rPr>
        <w:t>with Disabilities Act prohibit discrimination on the basis of disability in all programs, services, and activities of public</w:t>
      </w:r>
    </w:p>
    <w:p>
      <w:pPr>
        <w:pStyle w:val="Normal"/>
      </w:pPr>
      <w:r>
        <w:rPr>
          <w:sz w:val="24"/>
        </w:rPr>
        <w:t>entities and by private entities that own, operate, or lease places of public accommodation.</w:t>
      </w:r>
    </w:p>
    <w:p>
      <w:pPr>
        <w:pStyle w:val="Normal"/>
      </w:pPr>
      <w:r>
        <w:rPr>
          <w:sz w:val="24"/>
        </w:rPr>
        <w:t>Consumer Protection Division CP-21-11599</w:t>
      </w:r>
    </w:p>
    <w:p>
      <w:pPr>
        <w:pStyle w:val="Normal"/>
      </w:pPr>
      <w:r>
        <w:rPr>
          <w:sz w:val="24"/>
        </w:rPr>
        <w:t>$300 million dollars, as an adverse action in this claim and failure to accmmodate under american disabilities act, Fair Housing Act -Title VIII of the Civil Rights Act of 1968, as Amended - Prohibits discrimination in the sale, rental, financing of dwellings, and other</w:t>
      </w:r>
    </w:p>
    <w:p>
      <w:pPr>
        <w:pStyle w:val="Normal"/>
      </w:pPr>
      <w:r>
        <w:rPr>
          <w:sz w:val="24"/>
        </w:rPr>
        <w:t>housing-related transactions, based on race, color, national origin, religion, sex (gender), familial status (including children under theage of 18 living with parents or legal custodians, pregnant women and people securing custody of children under the age of 18) and</w:t>
      </w:r>
    </w:p>
    <w:p>
      <w:pPr>
        <w:pStyle w:val="Normal"/>
      </w:pPr>
      <w:r>
        <w:rPr>
          <w:sz w:val="24"/>
        </w:rPr>
        <w:t>disability. Section 109 of Title I of the Housing &amp; Community Development Act of 1974 - Prohibits discrimination on the basis of race,color, national origin, sex or religion in programs and activities receiving financial assistance from HUD's Community Developmentand Block Grant Program. Section 504</w:t>
      </w:r>
    </w:p>
    <w:p>
      <w:pPr>
        <w:pStyle w:val="Normal"/>
      </w:pPr>
      <w:r>
        <w:rPr>
          <w:sz w:val="24"/>
        </w:rPr>
        <w:t>of the Rehabilitation Act of 1973 - Prohibits discrimination based on disability in any program or activity receiving federal financial assistance. Presidential Executive Orders: "Executive Order 11063 - Prohibits discrimination inthe sale, leasing, rental, or other disposition of properties and facilities owned</w:t>
      </w:r>
    </w:p>
    <w:p>
      <w:pPr>
        <w:pStyle w:val="Normal"/>
      </w:pPr>
      <w:r>
        <w:rPr>
          <w:sz w:val="24"/>
        </w:rPr>
        <w:t>or operated by the federal government or provided with federal funds. "Executive Order 12892, as amended - Requires federal agencies to affirmatively further fair housing in their programs</w:t>
      </w:r>
    </w:p>
    <w:p>
      <w:pPr>
        <w:pStyle w:val="Normal"/>
      </w:pPr>
      <w:r>
        <w:rPr>
          <w:sz w:val="24"/>
        </w:rPr>
        <w:t>and activities, and provides that the Secretary of HUD will be responsible for coordinating the effort. The Order also established the</w:t>
      </w:r>
    </w:p>
    <w:p>
      <w:pPr>
        <w:pStyle w:val="Normal"/>
      </w:pPr>
      <w:r>
        <w:rPr>
          <w:sz w:val="24"/>
        </w:rPr>
        <w:t>President's Fair Housing Council, chaired by the Secretary of HUD. "Executive Order 13166 - Eliminates, to the extent possible,</w:t>
      </w:r>
    </w:p>
    <w:p>
      <w:pPr>
        <w:pStyle w:val="Normal"/>
      </w:pPr>
      <w:r>
        <w:rPr>
          <w:sz w:val="24"/>
        </w:rPr>
        <w:t>limited English proficiency or "LEP" as a barrier to full and meaningful participation by beneficiaries in all federally-assisted and</w:t>
      </w:r>
    </w:p>
    <w:p>
      <w:pPr>
        <w:pStyle w:val="Normal"/>
      </w:pPr>
      <w:r>
        <w:rPr>
          <w:sz w:val="24"/>
        </w:rPr>
        <w:t>federally conducted programs and activities. "Executive Order 13217 - Requires federal agencies to evaluate their policies and</w:t>
      </w:r>
    </w:p>
    <w:p>
      <w:pPr>
        <w:pStyle w:val="Normal"/>
      </w:pPr>
      <w:r>
        <w:rPr>
          <w:sz w:val="24"/>
        </w:rPr>
        <w:t>programs to determine if any can be revised or modified to improve the availability of community-based living arrangements for</w:t>
      </w:r>
    </w:p>
    <w:p>
      <w:pPr>
        <w:pStyle w:val="Normal"/>
      </w:pPr>
      <w:r>
        <w:rPr>
          <w:sz w:val="24"/>
        </w:rPr>
        <w:t>persons with disabilities.Fair Housing SC as a Columbia, SC section 8 voucher applicant that applied for a 2 bedroom, complete Rent</w:t>
      </w:r>
    </w:p>
    <w:p>
      <w:pPr>
        <w:pStyle w:val="Normal"/>
      </w:pPr>
      <w:r>
        <w:rPr>
          <w:sz w:val="24"/>
        </w:rPr>
        <w:t>Tenacy of Approval was done by management then a change of heart after the stalkers called or came by their office and told them</w:t>
      </w:r>
    </w:p>
    <w:p>
      <w:pPr>
        <w:pStyle w:val="Normal"/>
      </w:pPr>
      <w:r>
        <w:rPr>
          <w:sz w:val="24"/>
        </w:rPr>
        <w:t>not to rent to me as an responible adult that has a rental history since age 19 andowned my home at 7580 Clear Creek Drive,</w:t>
      </w:r>
    </w:p>
    <w:p>
      <w:pPr>
        <w:pStyle w:val="Normal"/>
      </w:pPr>
      <w:r>
        <w:rPr>
          <w:sz w:val="24"/>
        </w:rPr>
        <w:t>Lithonia, Georgia 30058 from 2007-2015 that was discharged in chapter 7 bankruptcy, inviolation to 11 U.S. Code § 525 - Protection</w:t>
      </w:r>
    </w:p>
    <w:p>
      <w:pPr>
        <w:pStyle w:val="Normal"/>
      </w:pPr>
      <w:r>
        <w:rPr>
          <w:sz w:val="24"/>
        </w:rPr>
        <w:t>against discriminatory treatment. (a)Except as provided in the Perishable Agricultural Commodities Act, 1930, the Packers and</w:t>
      </w:r>
    </w:p>
    <w:p>
      <w:pPr>
        <w:pStyle w:val="Normal"/>
      </w:pPr>
      <w:r>
        <w:rPr>
          <w:sz w:val="24"/>
        </w:rPr>
        <w:t>Stockyards Act, 1921, and section 1 of the Act entitled “An Act making appropriations for the Department of Agriculture for the fiscal</w:t>
      </w:r>
    </w:p>
    <w:p>
      <w:pPr>
        <w:pStyle w:val="Normal"/>
      </w:pPr>
      <w:r>
        <w:rPr>
          <w:sz w:val="24"/>
        </w:rPr>
        <w:t>year ending June 30, 1944, and for other purposes,” approved July 12, 1943, a governmental unit may not deny, revoke, suspend,</w:t>
      </w:r>
    </w:p>
    <w:p>
      <w:pPr>
        <w:pStyle w:val="Normal"/>
      </w:pPr>
      <w:r>
        <w:rPr>
          <w:sz w:val="24"/>
        </w:rPr>
        <w:t>or refuse to renew a license, permit, charter, franchise, or other similar grant to, condition such a grant to, discriminate with respect to</w:t>
      </w:r>
    </w:p>
    <w:p>
      <w:pPr>
        <w:pStyle w:val="Normal"/>
      </w:pPr>
      <w:r>
        <w:rPr>
          <w:sz w:val="24"/>
        </w:rPr>
        <w:t>such a grant against, deny employment to, terminate the employment of, or discriminate with respect to employment against, a</w:t>
      </w:r>
    </w:p>
    <w:p>
      <w:pPr>
        <w:pStyle w:val="Normal"/>
      </w:pPr>
      <w:r>
        <w:rPr>
          <w:sz w:val="24"/>
        </w:rPr>
        <w:t>person that is or has been a debtor under this title or a bankrupt or a debtor under the Bankruptcy Act, or another person with whom</w:t>
      </w:r>
    </w:p>
    <w:p>
      <w:pPr>
        <w:pStyle w:val="Normal"/>
      </w:pPr>
      <w:r>
        <w:rPr>
          <w:sz w:val="24"/>
        </w:rPr>
        <w:t>such bankrupt or debtor has been associated, solely because such bankrupt or debtor is or has been a debtor under this title or a</w:t>
      </w:r>
    </w:p>
    <w:p>
      <w:pPr>
        <w:pStyle w:val="Normal"/>
      </w:pPr>
      <w:r>
        <w:rPr>
          <w:sz w:val="24"/>
        </w:rPr>
        <w:t>bankrupt or debtor under the Bankruptcy Act, has been insolvent before the commencement of the case under this title, or during the</w:t>
      </w:r>
    </w:p>
    <w:p>
      <w:pPr>
        <w:pStyle w:val="Normal"/>
      </w:pPr>
      <w:r>
        <w:rPr>
          <w:sz w:val="24"/>
        </w:rPr>
        <w:t>case but before the debtor is granted or denied a discharge, or has not paid a debt that is dischargeable in the case under this title or</w:t>
      </w:r>
    </w:p>
    <w:p>
      <w:pPr>
        <w:pStyle w:val="Normal"/>
      </w:pPr>
      <w:r>
        <w:rPr>
          <w:sz w:val="24"/>
        </w:rPr>
        <w:t>that was discharged under the Bankruptcy Act.</w:t>
      </w:r>
    </w:p>
    <w:p>
      <w:pPr>
        <w:pStyle w:val="Normal"/>
      </w:pPr>
      <w:r/>
    </w:p>
    <w:p>
      <w:pPr>
        <w:pStyle w:val="Normal"/>
      </w:pPr>
      <w:r/>
    </w:p>
    <w:p>
      <w:pPr>
        <w:pStyle w:val="Normal"/>
      </w:pPr>
      <w:r>
        <w:t>Signature: Tinika SeCal Warren</w:t>
      </w:r>
    </w:p>
    <w:sectPr>
      <w:headerReference r:id="" w:type="default"/>
      <w:pgSz w:w="12240" w:h="15840"/>
      <w:pgMar w:left="1728" w:right="720" w:top="1440" w:bottom="144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ourier New"/>
  <w:font w:name="Cambria Math"/>
  <w:font w:name="Calibri"/>
  <w:font w:name="Cambria"/>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rPr/>
  </w:style>
  <w:style w:type="paragraph" w:styleId="Heading1">
    <w:name w:val="Heading 1"/>
    <w:qFormat/>
    <w:basedOn w:val="Normal"/>
    <w:pPr>
      <w:spacing w:before="240" w:after="60"/>
    </w:pPr>
    <w:rPr>
      <w:b/>
      <w:rFonts w:ascii="Arial" w:hAnsi="Arial"/>
      <w:sz w:val="28"/>
    </w:rPr>
  </w:style>
  <w:style w:type="character" w:styleId="DefaultParagraphFont">
    <w:name w:val="Default Paragraph Font"/>
    <w:qFormat/>
  </w:style>
  <w:style w:type="table" w:styleId="TableNormal">
    <w:name w:val="Table Normal"/>
    <w:qFormat/>
    <w:pPr/>
    <w:tblPr>
      <w:tblStyle w:val="TableNormal"/>
      <w:tblLook w:val="1E0"/>
    </w:tblPr>
  </w:style>
  <w:style w:type="numbering" w:styleId="NoList">
    <w:name w:val="No List"/>
    <w:qFormat/>
  </w:style>
  <w:style w:type="paragraph" w:styleId="Header">
    <w:name w:val="Header"/>
    <w:qFormat/>
    <w:basedOn w:val="Normal"/>
    <w:pPr/>
  </w:style>
  <w:style w:type="paragraph" w:styleId="Footer">
    <w:name w:val="Footer"/>
    <w:qFormat/>
    <w:basedOn w:val="Normal"/>
    <w:pPr/>
  </w:style>
  <w:style w:type="paragraph" w:styleId="LineNumbers">
    <w:name w:val="LineNumbers"/>
    <w:qFormat/>
    <w:basedOn w:val="Normal"/>
    <w:pPr>
      <w:jc w:val="right"/>
      <w:spacing w:line="463" w:lineRule="exact"/>
    </w:pPr>
    <w:rPr>
      <w:rFonts w:ascii="Courier New" w:hAnsi="Courier New"/>
      <w:sz w:val="18"/>
    </w:rPr>
  </w:style>
  <w:style w:type="paragraph" w:styleId="SingleSpacing">
    <w:name w:val="Single Spacing"/>
    <w:qFormat/>
    <w:basedOn w:val="Normal"/>
    <w:pPr>
      <w:spacing w:line="227" w:lineRule="exact"/>
    </w:pPr>
    <w:rPr>
      <w:rFonts w:ascii="Courier New" w:hAnsi="Courier New"/>
      <w:sz w:val="18"/>
    </w:rPr>
  </w:style>
  <w:style w:type="paragraph" w:styleId="AttorneyName">
    <w:name w:val="Attorney Name"/>
    <w:qFormat/>
    <w:basedOn w:val="SingleSpacing"/>
    <w:pPr/>
  </w:style>
  <w:style w:type="paragraph" w:styleId="SignatureBlock">
    <w:name w:val="Signature Block"/>
    <w:qFormat/>
    <w:basedOn w:val="SingleSpacing"/>
    <w:pPr>
      <w:ind w:left="468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