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Normal"/>
      </w:pPr>
      <w:r>
        <w:rPr/>
        <w:tab/>
        <w:t>IN THE UNITED STATES DISTRICT COURT</w:t>
      </w:r>
    </w:p>
    <w:p>
      <w:pPr>
        <w:pStyle w:val="Normal"/>
      </w:pPr>
      <w:r>
        <w:rPr/>
        <w:tab/>
        <w:t>FOR THE DISTRICT OF SOUTH CAROLINA</w:t>
      </w:r>
    </w:p>
    <w:p>
      <w:pPr>
        <w:pStyle w:val="Normal"/>
      </w:pPr>
      <w:r>
        <w:rPr/>
        <w:tab/>
      </w:r>
      <w:r>
        <w:rPr>
          <w:b/>
        </w:rPr>
        <w:t>_________________________</w:t>
      </w:r>
      <w:r>
        <w:rPr/>
        <w:t xml:space="preserve"> DIVISION</w:t>
      </w:r>
    </w:p>
    <w:p>
      <w:pPr>
        <w:pStyle w:val="Normal"/>
      </w:pPr>
    </w:p>
    <w:p>
      <w:pPr>
        <w:pStyle w:val="Normal"/>
      </w:pPr>
    </w:p>
    <w:p>
      <w:pPr>
        <w:pStyle w:val="Normal"/>
        <w:ind w:left="5040"/>
        <w:ind w:hanging="5040"/>
      </w:pPr>
      <w:r>
        <w:rPr/>
        <w:tab/>
      </w:r>
      <w:r>
        <w:rPr/>
        <w:tab/>
      </w:r>
      <w:r>
        <w:rPr/>
        <w:t>)</w:t>
      </w:r>
      <w:r>
        <w:rPr/>
        <w:tab/>
        <w:t xml:space="preserve">C.A. No.   </w:t>
      </w:r>
      <w:r>
        <w:rPr>
          <w:b/>
        </w:rPr>
        <w:t>__________________</w:t>
      </w:r>
    </w:p>
    <w:p>
      <w:pPr>
        <w:pStyle w:val="Normal"/>
      </w:pPr>
      <w:r>
        <w:rPr/>
        <w:t>Tinika SeCal Warren</w:t>
      </w:r>
      <w:r>
        <w:rPr/>
        <w:tab/>
      </w:r>
      <w:r>
        <w:rPr/>
        <w:t>)</w:t>
      </w:r>
    </w:p>
    <w:p>
      <w:pPr>
        <w:pStyle w:val="Normal"/>
      </w:pPr>
      <w:r>
        <w:rPr/>
        <w:tab/>
      </w:r>
      <w:r>
        <w:rPr/>
        <w:t>Plaintiff(s),</w:t>
      </w:r>
      <w:r>
        <w:rPr/>
        <w:tab/>
      </w:r>
      <w:r>
        <w:rPr/>
        <w:t>)</w:t>
      </w:r>
    </w:p>
    <w:p>
      <w:pPr>
        <w:pStyle w:val="Normal"/>
        <w:ind w:left="5040"/>
        <w:ind w:hanging="5040"/>
      </w:pPr>
      <w:r>
        <w:rPr/>
        <w:tab/>
      </w:r>
      <w:r>
        <w:rPr/>
        <w:t>)</w:t>
      </w:r>
      <w:r>
        <w:rPr/>
        <w:tab/>
      </w:r>
      <w:r>
        <w:rPr/>
        <w:tab/>
      </w:r>
      <w:r>
        <w:rPr>
          <w:b/>
        </w:rPr>
        <w:t>ORDER</w:t>
      </w:r>
    </w:p>
    <w:p>
      <w:pPr>
        <w:pStyle w:val="Normal"/>
      </w:pPr>
      <w:r>
        <w:rPr/>
        <w:tab/>
        <w:t>vs.</w:t>
      </w:r>
      <w:r>
        <w:rPr/>
        <w:tab/>
      </w:r>
      <w:r>
        <w:rPr/>
        <w:t>)</w:t>
      </w:r>
    </w:p>
    <w:p>
      <w:pPr>
        <w:pStyle w:val="Normal"/>
      </w:pPr>
      <w:r>
        <w:rPr/>
        <w:tab/>
        <w:t xml:space="preserve">Maurice Handy, </w:t>
      </w:r>
    </w:p>
    <w:p>
      <w:pPr>
        <w:pStyle w:val="Normal"/>
      </w:pPr>
      <w:r>
        <w:t xml:space="preserve">Regina Montgromery, </w:t>
      </w:r>
    </w:p>
    <w:p>
      <w:pPr>
        <w:pStyle w:val="Normal"/>
      </w:pPr>
      <w:r>
        <w:t xml:space="preserve">SC Housing, </w:t>
      </w:r>
    </w:p>
    <w:p>
      <w:pPr>
        <w:pStyle w:val="Normal"/>
      </w:pPr>
      <w:r>
        <w:t>City of Columbia Housing Authority</w:t>
      </w:r>
    </w:p>
    <w:p>
      <w:pPr>
        <w:pStyle w:val="Normal"/>
      </w:pPr>
      <w:r>
        <w:t xml:space="preserve">Lennzy Morris, </w:t>
      </w:r>
    </w:p>
    <w:p>
      <w:pPr>
        <w:pStyle w:val="Normal"/>
      </w:pPr>
      <w:r>
        <w:rPr/>
        <w:tab/>
      </w:r>
    </w:p>
    <w:p>
      <w:pPr>
        <w:pStyle w:val="Normal"/>
      </w:pPr>
      <w:r>
        <w:rPr/>
        <w:t>____________________________</w:t>
      </w:r>
      <w:r>
        <w:rPr/>
        <w:tab/>
      </w:r>
      <w:r>
        <w:rPr/>
        <w:t>)</w:t>
      </w:r>
    </w:p>
    <w:p>
      <w:pPr>
        <w:pStyle w:val="Normal"/>
      </w:pPr>
      <w:r>
        <w:rPr/>
        <w:tab/>
      </w:r>
      <w:r>
        <w:rPr/>
        <w:t>Defendant(s).</w:t>
      </w:r>
      <w:r>
        <w:rPr/>
        <w:tab/>
      </w:r>
      <w:r>
        <w:rPr/>
        <w:t>)</w:t>
      </w:r>
    </w:p>
    <w:p>
      <w:pPr>
        <w:pStyle w:val="Normal"/>
      </w:pPr>
    </w:p>
    <w:p>
      <w:pPr>
        <w:pStyle w:val="Normal"/>
      </w:pPr>
    </w:p>
    <w:p>
      <w:pPr>
        <w:pStyle w:val="Normal"/>
        <w:spacing w:line="432" w:lineRule="auto"/>
      </w:pPr>
      <w:r>
        <w:rPr/>
        <w:tab/>
        <w:t xml:space="preserve">This action is based in whole or in part on the Racketeer Influenced and Corrupt Organizations Act (“RICO”) codified at 18 U.S.C. § 961 </w:t>
      </w:r>
      <w:r>
        <w:rPr>
          <w:i/>
        </w:rPr>
        <w:t>et seq</w:t>
      </w:r>
      <w:r>
        <w:rPr/>
        <w:t>.  Such claims tend to expand the scope of a given case, increase discovery, lead to numerous time-consuming and costly motions to dismiss, and hinder possible settlement of litigation.  This order is not intended to minimize valid claims or to render their prosecution more difficult.  Rather, it is intended to assist the parties and the court in separating those claims which are arguably meritorious from those which patently are not.</w:t>
      </w:r>
    </w:p>
    <w:p>
      <w:pPr>
        <w:pStyle w:val="Normal"/>
        <w:spacing w:line="432" w:lineRule="auto"/>
      </w:pPr>
      <w:r>
        <w:rPr/>
        <w:tab/>
        <w:t>Therefore, it is hereby</w:t>
      </w:r>
    </w:p>
    <w:p>
      <w:pPr>
        <w:pStyle w:val="Normal"/>
        <w:spacing w:line="432" w:lineRule="auto"/>
      </w:pPr>
      <w:r>
        <w:rPr/>
        <w:tab/>
        <w:t>ORDERED that plaintiff shall file, within 25 days of the date of this order, a RICO case statement.  This statement shall include the facts upon which plaintiff relies to initiate its RICO claim(s), as a result of the “reasonably inquiry” required by Fed. R. Civ. P. 11.  In particular, this statement shall use the numbers and letters set forth in the attached form entitled “RICO Case Statement.”  Each interrogatory shall be set forth immediately prior to the answer thereto.  The statement shall set forth in detail and with specificity the information requested in the form.  The court shall construe the RICO case statement as an amendment to the pleadings.  Failure to comply with the provisions of this order subjects the case to dismissal.</w:t>
      </w:r>
    </w:p>
    <w:p>
      <w:pPr>
        <w:pStyle w:val="Normal"/>
        <w:spacing w:line="432" w:lineRule="auto"/>
      </w:pPr>
      <w:r>
        <w:rPr/>
        <w:tab/>
        <w:t>It is further hereby</w:t>
      </w:r>
    </w:p>
    <w:p>
      <w:pPr>
        <w:pStyle w:val="Normal"/>
        <w:spacing w:line="432" w:lineRule="auto"/>
      </w:pPr>
      <w:r>
        <w:rPr/>
        <w:tab/>
      </w:r>
      <w:r>
        <w:rPr>
          <w:b/>
        </w:rPr>
        <w:t xml:space="preserve">ORDERED </w:t>
      </w:r>
      <w:r>
        <w:rPr/>
        <w:t>that counsel for plaintiff serve a copy of the RICO case statement on all parties.</w:t>
      </w:r>
    </w:p>
    <w:p>
      <w:pPr>
        <w:pStyle w:val="Normal"/>
      </w:pPr>
      <w:r>
        <w:rPr/>
        <w:tab/>
      </w:r>
      <w:r>
        <w:rPr>
          <w:b/>
        </w:rPr>
        <w:t>IT IS SO ORDERED</w:t>
      </w:r>
      <w:r>
        <w:rPr/>
        <w:t>.</w:t>
      </w:r>
    </w:p>
    <w:p>
      <w:pPr>
        <w:pStyle w:val="Normal"/>
      </w:pPr>
    </w:p>
    <w:p>
      <w:pPr>
        <w:pStyle w:val="Normal"/>
      </w:pPr>
    </w:p>
    <w:p>
      <w:pPr>
        <w:pStyle w:val="Normal"/>
      </w:pPr>
    </w:p>
    <w:p>
      <w:pPr>
        <w:pStyle w:val="Normal"/>
        <w:sectPr>
          <w:pgSz w:w="12240" w:h="15840"/>
          <w:pgMar w:left="1872" w:right="1008" w:top="1440" w:bottom="1440"/>
        </w:sectPr>
      </w:pPr>
    </w:p>
    <w:p>
      <w:pPr>
        <w:pStyle w:val="Normal"/>
      </w:pPr>
      <w:r>
        <w:rPr/>
        <w:tab/>
      </w:r>
      <w:r>
        <w:rPr/>
        <w:t>_____________________________________</w:t>
      </w:r>
    </w:p>
    <w:p>
      <w:pPr>
        <w:pStyle w:val="Normal"/>
      </w:pPr>
      <w:r>
        <w:rPr/>
        <w:tab/>
      </w:r>
      <w:r>
        <w:rPr/>
        <w:tab/>
      </w:r>
      <w:r>
        <w:rPr/>
        <w:tab/>
      </w:r>
      <w:r>
        <w:rPr/>
        <w:tab/>
      </w:r>
      <w:r>
        <w:rPr/>
        <w:tab/>
      </w:r>
      <w:r>
        <w:rPr/>
        <w:tab/>
      </w:r>
      <w:r>
        <w:rPr/>
        <w:tab/>
        <w:t>R. BRYAN HARWELL</w:t>
      </w:r>
    </w:p>
    <w:p>
      <w:pPr>
        <w:pStyle w:val="Normal"/>
      </w:pPr>
      <w:r>
        <w:rPr/>
        <w:tab/>
      </w:r>
      <w:r>
        <w:rPr/>
        <w:tab/>
      </w:r>
      <w:r>
        <w:rPr/>
        <w:tab/>
      </w:r>
      <w:r>
        <w:rPr/>
        <w:tab/>
      </w:r>
      <w:r>
        <w:rPr/>
        <w:tab/>
      </w:r>
      <w:r>
        <w:rPr/>
        <w:tab/>
      </w:r>
      <w:r>
        <w:rPr/>
        <w:tab/>
        <w:t>UNITED STATES DISTRICT JUDGE</w:t>
      </w:r>
      <w:r>
        <w:rPr/>
        <w:tab/>
      </w:r>
      <w:r>
        <w:rPr/>
        <w:tab/>
      </w:r>
    </w:p>
    <w:p>
      <w:pPr>
        <w:pStyle w:val="Normal"/>
      </w:pPr>
      <w:r>
        <w:rPr/>
        <w:t>Florence, South Carolina</w:t>
      </w:r>
    </w:p>
    <w:p>
      <w:pPr>
        <w:pStyle w:val="Normal"/>
      </w:pPr>
      <w:r>
        <w:rPr/>
        <w:t>______________, 20___</w:t>
      </w:r>
    </w:p>
    <w:p>
      <w:pPr>
        <w:pStyle w:val="Normal"/>
      </w:pPr>
      <w:r>
        <w:rPr/>
        <w:br w:type="page"/>
      </w:r>
      <w:r>
        <w:rPr/>
        <w:tab/>
        <w:t>IN THE UNITED STATES DISTRICT COURT</w:t>
      </w:r>
    </w:p>
    <w:p>
      <w:pPr>
        <w:pStyle w:val="Normal"/>
      </w:pPr>
      <w:r>
        <w:rPr/>
        <w:tab/>
        <w:t>FOR THE DISTRICT OF SOUTH CAROLINA</w:t>
      </w:r>
    </w:p>
    <w:p>
      <w:pPr>
        <w:pStyle w:val="Normal"/>
      </w:pPr>
      <w:r>
        <w:rPr/>
        <w:tab/>
      </w:r>
      <w:r>
        <w:rPr>
          <w:b/>
        </w:rPr>
        <w:t>_________________________</w:t>
      </w:r>
      <w:r>
        <w:rPr/>
        <w:t xml:space="preserve"> DIVISION</w:t>
      </w:r>
    </w:p>
    <w:p>
      <w:pPr>
        <w:pStyle w:val="Normal"/>
      </w:pPr>
    </w:p>
    <w:p>
      <w:pPr>
        <w:pStyle w:val="Normal"/>
      </w:pPr>
    </w:p>
    <w:p>
      <w:pPr>
        <w:pStyle w:val="Normal"/>
        <w:ind w:left="5040"/>
        <w:ind w:hanging="5040"/>
      </w:pPr>
      <w:r>
        <w:rPr/>
        <w:tab/>
      </w:r>
      <w:r>
        <w:rPr/>
        <w:t>)</w:t>
      </w:r>
      <w:r>
        <w:rPr/>
        <w:tab/>
        <w:t xml:space="preserve">C.A. No.   </w:t>
      </w:r>
      <w:r>
        <w:rPr>
          <w:b/>
        </w:rPr>
        <w:t>__________________</w:t>
      </w:r>
    </w:p>
    <w:p>
      <w:pPr>
        <w:pStyle w:val="Normal"/>
      </w:pPr>
      <w:r>
        <w:rPr/>
        <w:t>____________________________</w:t>
      </w:r>
      <w:r>
        <w:rPr/>
        <w:tab/>
      </w:r>
      <w:r>
        <w:rPr/>
        <w:t>)</w:t>
      </w:r>
    </w:p>
    <w:p>
      <w:pPr>
        <w:pStyle w:val="Normal"/>
      </w:pPr>
      <w:r>
        <w:rPr/>
        <w:tab/>
        <w:t>Plaintiff(s),</w:t>
      </w:r>
      <w:r>
        <w:rPr/>
        <w:tab/>
      </w:r>
      <w:r>
        <w:rPr/>
        <w:t>)</w:t>
      </w:r>
    </w:p>
    <w:p>
      <w:pPr>
        <w:pStyle w:val="Normal"/>
        <w:ind w:left="5040"/>
        <w:ind w:hanging="5040"/>
      </w:pPr>
      <w:r>
        <w:rPr/>
        <w:tab/>
      </w:r>
      <w:r>
        <w:rPr/>
        <w:t>)</w:t>
      </w:r>
      <w:r>
        <w:rPr/>
        <w:tab/>
      </w:r>
      <w:r>
        <w:rPr>
          <w:b/>
        </w:rPr>
        <w:t>RICO CASE STATEMENT</w:t>
      </w:r>
    </w:p>
    <w:p>
      <w:pPr>
        <w:pStyle w:val="Normal"/>
      </w:pPr>
      <w:r>
        <w:rPr/>
        <w:tab/>
        <w:t>vs.</w:t>
      </w:r>
      <w:r>
        <w:rPr/>
        <w:tab/>
      </w:r>
      <w:r>
        <w:rPr/>
        <w:t>)</w:t>
      </w:r>
    </w:p>
    <w:p>
      <w:pPr>
        <w:pStyle w:val="Normal"/>
      </w:pPr>
      <w:r>
        <w:rPr/>
        <w:tab/>
      </w:r>
      <w:r>
        <w:rPr/>
        <w:t>)</w:t>
      </w:r>
    </w:p>
    <w:p>
      <w:pPr>
        <w:pStyle w:val="Normal"/>
      </w:pPr>
      <w:r>
        <w:rPr/>
        <w:tab/>
      </w:r>
      <w:r>
        <w:rPr/>
        <w:t>)</w:t>
      </w:r>
    </w:p>
    <w:p>
      <w:pPr>
        <w:pStyle w:val="Normal"/>
      </w:pPr>
      <w:r>
        <w:rPr/>
        <w:t>____________________________</w:t>
      </w:r>
      <w:r>
        <w:rPr/>
        <w:tab/>
      </w:r>
      <w:r>
        <w:rPr/>
        <w:t>)</w:t>
      </w:r>
    </w:p>
    <w:p>
      <w:pPr>
        <w:pStyle w:val="Normal"/>
      </w:pPr>
      <w:r>
        <w:rPr/>
        <w:tab/>
        <w:t>Defendant(s).</w:t>
      </w:r>
      <w:r>
        <w:rPr/>
        <w:tab/>
      </w:r>
      <w:r>
        <w:rPr/>
        <w:t>)</w:t>
      </w:r>
    </w:p>
    <w:p>
      <w:pPr>
        <w:pStyle w:val="Normal"/>
      </w:pPr>
    </w:p>
    <w:p>
      <w:pPr>
        <w:pStyle w:val="Normal"/>
      </w:pPr>
    </w:p>
    <w:p>
      <w:pPr>
        <w:pStyle w:val="Normal"/>
        <w:spacing w:line="432" w:lineRule="auto"/>
      </w:pPr>
      <w:r>
        <w:rPr>
          <w:sz w:val="22"/>
        </w:rPr>
        <w:tab/>
        <w:t>1.</w:t>
      </w:r>
      <w:r>
        <w:rPr>
          <w:sz w:val="22"/>
        </w:rPr>
        <w:tab/>
        <w:t>State whether the alleged unlawful conduct is in violation of 18 U.S.C. § 1962(a), (b), (c), and/or (d).</w:t>
      </w:r>
    </w:p>
    <w:p>
      <w:pPr>
        <w:pStyle w:val="Normal"/>
        <w:spacing w:line="432" w:lineRule="auto"/>
      </w:pPr>
      <w:r>
        <w:rPr>
          <w:sz w:val="22"/>
        </w:rPr>
        <w:tab/>
        <w:t>2.</w:t>
      </w:r>
      <w:r>
        <w:rPr>
          <w:sz w:val="22"/>
        </w:rPr>
        <w:tab/>
        <w:t>List all defendants and state the alleged misconduct and basis of liability of each defendant.</w:t>
      </w:r>
    </w:p>
    <w:p>
      <w:pPr>
        <w:pStyle w:val="Normal"/>
        <w:spacing w:line="432" w:lineRule="auto"/>
      </w:pPr>
      <w:r>
        <w:rPr>
          <w:sz w:val="22"/>
        </w:rPr>
        <w:tab/>
        <w:t>3.</w:t>
      </w:r>
      <w:r>
        <w:rPr>
          <w:sz w:val="22"/>
        </w:rPr>
        <w:tab/>
        <w:t>List all alleged wrongdoers, other than any defendant listed above, and state the alleged misconduct of each wrongdoer.</w:t>
      </w:r>
    </w:p>
    <w:p>
      <w:pPr>
        <w:pStyle w:val="Normal"/>
        <w:spacing w:line="432" w:lineRule="auto"/>
      </w:pPr>
      <w:r>
        <w:rPr>
          <w:sz w:val="22"/>
        </w:rPr>
      </w:r>
    </w:p>
    <w:p>
      <w:pPr>
        <w:pStyle w:val="Normal"/>
        <w:spacing w:line="432" w:lineRule="auto"/>
      </w:pPr>
      <w:r>
        <w:rPr>
          <w:sz w:val="22"/>
        </w:rPr>
        <w:t xml:space="preserve">Regina Montgromery, </w:t>
      </w:r>
    </w:p>
    <w:p>
      <w:pPr>
        <w:pStyle w:val="Normal"/>
        <w:spacing w:line="432" w:lineRule="auto"/>
      </w:pPr>
      <w:r>
        <w:rPr>
          <w:sz w:val="22"/>
        </w:rPr>
        <w:t xml:space="preserve">SC Housing, </w:t>
      </w:r>
    </w:p>
    <w:p>
      <w:pPr>
        <w:pStyle w:val="Normal"/>
        <w:spacing w:line="432" w:lineRule="auto"/>
      </w:pPr>
      <w:r>
        <w:rPr>
          <w:sz w:val="22"/>
        </w:rPr>
        <w:t>City of Columbia Housing Authority</w:t>
      </w:r>
    </w:p>
    <w:p>
      <w:pPr>
        <w:pStyle w:val="Normal"/>
        <w:spacing w:line="432" w:lineRule="auto"/>
      </w:pPr>
      <w:r>
        <w:rPr>
          <w:sz w:val="22"/>
        </w:rPr>
        <w:t xml:space="preserve">Lennzy Morris, </w:t>
      </w:r>
    </w:p>
    <w:p>
      <w:pPr>
        <w:pStyle w:val="Normal"/>
        <w:spacing w:line="432" w:lineRule="auto"/>
      </w:pPr>
      <w:r>
        <w:rPr>
          <w:sz w:val="22"/>
        </w:rPr>
        <w:tab/>
        <w:t>4.</w:t>
      </w:r>
      <w:r>
        <w:rPr>
          <w:sz w:val="22"/>
        </w:rPr>
        <w:tab/>
        <w:t xml:space="preserve">List the </w:t>
      </w:r>
      <w:r>
        <w:rPr>
          <w:b/>
          <w:sz w:val="22"/>
        </w:rPr>
        <w:t xml:space="preserve">alleged victims </w:t>
      </w:r>
      <w:r>
        <w:rPr>
          <w:sz w:val="22"/>
        </w:rPr>
        <w:t>and state how each victim was allegedly injured.</w:t>
      </w:r>
    </w:p>
    <w:p>
      <w:pPr>
        <w:pStyle w:val="Normal"/>
        <w:spacing w:line="432" w:lineRule="auto"/>
      </w:pPr>
      <w:r>
        <w:rPr>
          <w:sz w:val="22"/>
        </w:rPr>
        <w:t xml:space="preserve">                                             </w:t>
      </w:r>
      <w:r>
        <w:rPr>
          <w:b/>
          <w:sz w:val="22"/>
        </w:rPr>
        <w:t xml:space="preserve">  Tinika Se'Cal Warren</w:t>
      </w:r>
    </w:p>
    <w:p>
      <w:pPr>
        <w:pStyle w:val="Normal"/>
        <w:spacing w:line="432" w:lineRule="auto"/>
      </w:pPr>
      <w:r>
        <w:rPr>
          <w:sz w:val="22"/>
        </w:rPr>
        <w:tab/>
        <w:t>5.</w:t>
      </w:r>
      <w:r>
        <w:rPr>
          <w:sz w:val="22"/>
        </w:rPr>
        <w:tab/>
        <w:t>Describe in detail the pattern of racketeering activities or collection of unlawful debts alleged for each RICO claim.  The description of the pattern of racketeering shall include the following information:</w:t>
      </w:r>
    </w:p>
    <w:p>
      <w:pPr>
        <w:pStyle w:val="Normal"/>
        <w:ind w:left="1188"/>
        <w:ind w:hanging="1188"/>
        <w:spacing w:line="432" w:lineRule="auto"/>
      </w:pPr>
      <w:r>
        <w:rPr>
          <w:sz w:val="22"/>
        </w:rPr>
        <w:tab/>
        <w:t>a.</w:t>
      </w:r>
      <w:r>
        <w:rPr>
          <w:sz w:val="22"/>
        </w:rPr>
        <w:tab/>
        <w:t>List of alleged predicate acts and the specific statues that were allegedly violated;</w:t>
      </w:r>
    </w:p>
    <w:p>
      <w:pPr>
        <w:pStyle w:val="Normal"/>
        <w:spacing w:line="432" w:lineRule="auto"/>
      </w:pPr>
      <w:r>
        <w:rPr>
          <w:sz w:val="22"/>
        </w:rPr>
        <w:tab/>
        <w:t>b.</w:t>
      </w:r>
      <w:r>
        <w:rPr>
          <w:sz w:val="22"/>
        </w:rPr>
        <w:tab/>
        <w:t>Provide the date of each predicate act, the participants in each predicate act, and a description of the facts constituting each predicate act;</w:t>
      </w:r>
    </w:p>
    <w:p>
      <w:pPr>
        <w:pStyle w:val="Normal"/>
        <w:spacing w:line="432" w:lineRule="auto"/>
      </w:pPr>
      <w:r>
        <w:rPr>
          <w:sz w:val="22"/>
        </w:rPr>
        <w:tab/>
        <w:t>c.</w:t>
      </w:r>
      <w:r>
        <w:rPr>
          <w:sz w:val="22"/>
        </w:rPr>
        <w:tab/>
        <w:t>If the RICO claim is based on the predicate offenses of wire fraud, mail fraud, or fraud in the sale of securities, the “circumstances constituting fraud or mistake shall be stated with particularity.”  , Maurice Handy , HUD Columbia, South Carolina Headquarters office abused his power while working for a trusted position of power as a '' mediator" , to resolve conflict resolutions ; unforuately his license failed to fall within jurisdiction of Dekalb County , Georgia,  NO state mediator license was found at Georgia Secretary of State Licensing Division nor did he hold a State of Georgia Bar License. In the position, he participated in white collar crime misapproation of federal housing funds with Debra F. Simpson , Lacie Nicole Little , Rhonda Simpson, Mrs. Green possibly related to Eisha Green from Washington, DC that relocated to the City of Greensboro, NC during her middle school year . Lacie N. Little who has been charged with previous charges for embellzellment coercied Maurice HAndy to write false and misleading information on my determenation letter stating that I resided in Greensboro, NC from 2003-2017; when in fact I handed Maurice Handy and Mrs. Green the deed for my home located at 7580 Clear Creek Drive, Lithonia, Georgia , purchased August 7, 2007 and discharged in Chapter 7 Bankrutcy March 13, 2015. My daughter Genesis Aaliyah Williams , school 504 plans as an ovarian cancer patient from December 2013- 2018.  18 U.S. Code § 242 - Deprivation of rights under color of law;  however, under color of any law, statute, ordinance, regulation, or custom, willfully subjects any person in any State, Territory, Commonwealth, Possession, or District to the deprivation of any rights, privileges, or immunities secured or protected by the Constitution or laws of the United States, or to different punishments, pains, or penalties, on account of such person being an alien, or by reason of his color, or race, than are prescribed for the punishment of citizens, shall be fined under this title or imprisoned not more than one year, or both; and if bodily injury results from the acts committed in violation of this section or if such acts include the use, attempted use, or threatened use of a dangerous weapon, explosives, or fire, shall be fined under this title or imprisoned not more than ten years, or both; and if death results from the acts committed in violation of this section or if such acts include kidnapping or an attempt to kidnap, aggravated sexual abuse, or an attempt to commit aggravated sexual abuse, or an attempt to kill, shall be fined under this title, or imprisoned for any term of years or for life, or both, or may be sentenced to death.  18 USC Ch. 13: CIVIL RIGHTS</w:t>
      </w:r>
    </w:p>
    <w:p>
      <w:pPr>
        <w:pStyle w:val="Normal"/>
        <w:spacing w:line="432" w:lineRule="auto"/>
      </w:pPr>
      <w:r>
        <w:rPr>
          <w:sz w:val="22"/>
        </w:rPr>
        <w:t>From Title 18—CRIMES AND CRIMINAL PROCEDURE</w:t>
      </w:r>
    </w:p>
    <w:p>
      <w:pPr>
        <w:pStyle w:val="Normal"/>
        <w:spacing w:line="432" w:lineRule="auto"/>
      </w:pPr>
      <w:r>
        <w:rPr>
          <w:sz w:val="22"/>
        </w:rPr>
        <w:t>PART I—CRIMES</w:t>
      </w:r>
    </w:p>
    <w:p>
      <w:pPr>
        <w:pStyle w:val="Normal"/>
        <w:spacing w:line="432" w:lineRule="auto"/>
      </w:pPr>
      <w:r>
        <w:rPr>
          <w:sz w:val="22"/>
        </w:rPr>
        <w:t>CHAPTER 13—CIVIL RIGHTS</w:t>
      </w:r>
    </w:p>
    <w:p>
      <w:pPr>
        <w:pStyle w:val="Normal"/>
        <w:spacing w:line="432" w:lineRule="auto"/>
      </w:pPr>
      <w:r>
        <w:rPr>
          <w:sz w:val="22"/>
        </w:rPr>
        <w:t>Sec.</w:t>
      </w:r>
    </w:p>
    <w:p>
      <w:pPr>
        <w:pStyle w:val="Normal"/>
        <w:spacing w:line="432" w:lineRule="auto"/>
      </w:pPr>
      <w:r>
        <w:rPr>
          <w:sz w:val="22"/>
        </w:rPr>
        <w:t>241.Conspiracy against rights.</w:t>
      </w:r>
    </w:p>
    <w:p>
      <w:pPr>
        <w:pStyle w:val="Normal"/>
        <w:spacing w:line="432" w:lineRule="auto"/>
      </w:pPr>
      <w:r>
        <w:rPr>
          <w:sz w:val="22"/>
        </w:rPr>
        <w:t>242.Deprivation of rights under color of law.</w:t>
      </w:r>
    </w:p>
    <w:p>
      <w:pPr>
        <w:pStyle w:val="Normal"/>
        <w:spacing w:line="432" w:lineRule="auto"/>
      </w:pPr>
      <w:r>
        <w:rPr>
          <w:sz w:val="22"/>
        </w:rPr>
        <w:t>243.Exclusion of jurors on account of race or color.</w:t>
      </w:r>
    </w:p>
    <w:p>
      <w:pPr>
        <w:pStyle w:val="Normal"/>
        <w:spacing w:line="432" w:lineRule="auto"/>
      </w:pPr>
      <w:r>
        <w:rPr>
          <w:sz w:val="22"/>
        </w:rPr>
        <w:t>244.Discrimination against person wearing uniform of armed forces.</w:t>
      </w:r>
    </w:p>
    <w:p>
      <w:pPr>
        <w:pStyle w:val="Normal"/>
        <w:spacing w:line="432" w:lineRule="auto"/>
      </w:pPr>
      <w:r>
        <w:rPr>
          <w:sz w:val="22"/>
        </w:rPr>
        <w:t>245.Federally protected activities.</w:t>
      </w:r>
    </w:p>
    <w:p>
      <w:pPr>
        <w:pStyle w:val="Normal"/>
        <w:spacing w:line="432" w:lineRule="auto"/>
      </w:pPr>
      <w:r>
        <w:rPr>
          <w:sz w:val="22"/>
        </w:rPr>
        <w:t>246.Deprivation of relief benefits.</w:t>
      </w:r>
    </w:p>
    <w:p>
      <w:pPr>
        <w:pStyle w:val="Normal"/>
        <w:spacing w:line="432" w:lineRule="auto"/>
      </w:pPr>
      <w:r>
        <w:rPr>
          <w:sz w:val="22"/>
        </w:rPr>
        <w:t>247.Damage to religious property; obstruction of persons in the free exercise of religious beliefs.</w:t>
      </w:r>
    </w:p>
    <w:p>
      <w:pPr>
        <w:pStyle w:val="Normal"/>
        <w:spacing w:line="432" w:lineRule="auto"/>
      </w:pPr>
      <w:r>
        <w:rPr>
          <w:sz w:val="22"/>
        </w:rPr>
        <w:t>248.Freedom of access to clinic entrances.</w:t>
      </w:r>
    </w:p>
    <w:p>
      <w:pPr>
        <w:pStyle w:val="Normal"/>
        <w:spacing w:line="432" w:lineRule="auto"/>
      </w:pPr>
      <w:r>
        <w:rPr>
          <w:sz w:val="22"/>
        </w:rPr>
        <w:t>249.Hate crime acts.</w:t>
      </w:r>
    </w:p>
    <w:p>
      <w:pPr>
        <w:pStyle w:val="Normal"/>
        <w:spacing w:line="432" w:lineRule="auto"/>
      </w:pPr>
      <w:r>
        <w:rPr>
          <w:sz w:val="22"/>
        </w:rPr>
        <w:t>250.Penalties for civil rights offenses involving sexual misconduct.   §245. Federally protected activities</w:t>
      </w:r>
    </w:p>
    <w:p>
      <w:pPr>
        <w:pStyle w:val="Normal"/>
        <w:spacing w:line="432" w:lineRule="auto"/>
      </w:pPr>
      <w:r>
        <w:t>(a)(1) Nothing in this section shall be construed as indicating an intent on the part of Congress to prevent any State, any possession or Commonwealth of the United States, or the District of Columbia, from exercising jurisdiction over any offense over which it would have jurisdiction in the absence of this section, nor shall anything in this section be construed as depriving State and local law enforcement authorities of responsibility for prosecuting acts that may be violations of this section and that are violations of State and local law. No prosecution of any offense described in this section shall be undertaken by the United States except upon the certification in writing of the Attorney General, the Deputy Attorney General, the Associate Attorney General, or any Assistant Attorney General specially designated by the Attorney General that in his judgment a prosecution by the United States is in the public interest and necessary to secure substantial justice, which function of certification may not be delegated.</w:t>
      </w:r>
    </w:p>
    <w:p>
      <w:pPr>
        <w:pStyle w:val="Normal"/>
        <w:spacing w:line="432" w:lineRule="auto"/>
      </w:pPr>
      <w:r>
        <w:rPr>
          <w:sz w:val="22"/>
        </w:rPr>
      </w:r>
    </w:p>
    <w:p>
      <w:pPr>
        <w:pStyle w:val="Normal"/>
        <w:spacing w:line="432" w:lineRule="auto"/>
      </w:pPr>
      <w:r>
        <w:rPr>
          <w:sz w:val="22"/>
        </w:rPr>
        <w:t>(2) Nothing in this subsection shall be construed to limit the authority of Federal officers, or a Federal grand jury, to investigate possible violations of this section. I am awaiting for a complete right to appeal in the OSHA case Tinika Warren vs City of Greensboro, NC.  I ''WON" , this case but I am in danger and high risk of being killed like my father that died May 26, 2000 on my birthday - a Friday, my Father Calvn Williams was scheduled to get a lawsuit from ,  R. Steve Bowden &amp; Associates PC  , Address: 806 Summit Ave, Greensboro, NC 27405  ,  whose contact number is : Phone: (336) 285-0925. Steve Bowman , released his car accident money to Tinika Se'Cal Warren in somewhere in the amount of $8000.00. The $425, 000.00 was NEVER recieved from Mr. Steve Bowman office and his workersmans compensation was suppose to continue for the rest of his life due to a work related injury changing a tire on a tractor trailer; where his entire arm almost had to be removed. His death was ruled a sucidied even though he had plans with me after work for my birthday as his daughter and his only grandson.</w:t>
      </w:r>
    </w:p>
    <w:p>
      <w:pPr>
        <w:pStyle w:val="Normal"/>
        <w:spacing w:line="432" w:lineRule="auto"/>
      </w:pPr>
      <w:r/>
    </w:p>
    <w:p>
      <w:pPr>
        <w:pStyle w:val="Normal"/>
        <w:spacing w:line="432" w:lineRule="auto"/>
      </w:pPr>
      <w:r>
        <w:rPr>
          <w:sz w:val="22"/>
        </w:rPr>
      </w:r>
    </w:p>
    <w:p>
      <w:pPr>
        <w:pStyle w:val="Normal"/>
        <w:spacing w:line="432" w:lineRule="auto"/>
      </w:pPr>
      <w:r>
        <w:rPr>
          <w:sz w:val="22"/>
        </w:rPr>
        <w:t>(b) Whoever, whether or not acting under color of law, by force or threat of force willfully injures, intimidates or interferes with, or attempts to injure, intimidate or interfere with—</w:t>
      </w:r>
    </w:p>
    <w:p>
      <w:pPr>
        <w:pStyle w:val="Normal"/>
        <w:spacing w:line="432" w:lineRule="auto"/>
      </w:pPr>
      <w:r>
        <w:rPr>
          <w:sz w:val="22"/>
        </w:rPr>
      </w:r>
    </w:p>
    <w:p>
      <w:pPr>
        <w:pStyle w:val="Normal"/>
        <w:spacing w:line="432" w:lineRule="auto"/>
      </w:pPr>
      <w:r>
        <w:rPr>
          <w:sz w:val="22"/>
        </w:rPr>
        <w:t>(1) any person because he is or has been, or in order to intimidate such person or any other person or any class of persons from—</w:t>
      </w:r>
    </w:p>
    <w:p>
      <w:pPr>
        <w:pStyle w:val="Normal"/>
        <w:spacing w:line="432" w:lineRule="auto"/>
      </w:pPr>
      <w:r>
        <w:rPr>
          <w:sz w:val="22"/>
        </w:rPr>
      </w:r>
    </w:p>
    <w:p>
      <w:pPr>
        <w:pStyle w:val="Normal"/>
        <w:spacing w:line="432" w:lineRule="auto"/>
      </w:pPr>
      <w:r>
        <w:rPr>
          <w:sz w:val="22"/>
        </w:rPr>
        <w:t>(A) voting or qualifying to vote, qualifying or campaigning as a candidate for elective office, or qualifying or acting as a poll watcher, or any legally authorized election official, in any primary, special, or general election;</w:t>
      </w:r>
    </w:p>
    <w:p>
      <w:pPr>
        <w:pStyle w:val="Normal"/>
        <w:spacing w:line="432" w:lineRule="auto"/>
      </w:pPr>
      <w:r>
        <w:rPr>
          <w:sz w:val="22"/>
        </w:rPr>
      </w:r>
    </w:p>
    <w:p>
      <w:pPr>
        <w:pStyle w:val="Normal"/>
        <w:spacing w:line="432" w:lineRule="auto"/>
      </w:pPr>
      <w:r>
        <w:rPr>
          <w:sz w:val="22"/>
        </w:rPr>
        <w:t>(B) participating in or enjoying any benefit, service, privilege, program, facility, or activity provided or administered by the United States;</w:t>
      </w:r>
    </w:p>
    <w:p>
      <w:pPr>
        <w:pStyle w:val="Normal"/>
        <w:spacing w:line="432" w:lineRule="auto"/>
      </w:pPr>
      <w:r>
        <w:rPr>
          <w:sz w:val="22"/>
        </w:rPr>
      </w:r>
    </w:p>
    <w:p>
      <w:pPr>
        <w:pStyle w:val="Normal"/>
        <w:spacing w:line="432" w:lineRule="auto"/>
      </w:pPr>
      <w:r>
        <w:rPr>
          <w:sz w:val="22"/>
        </w:rPr>
        <w:t>(C) applying for or enjoying employment, or any perquisite thereof, by any agency of the United States;</w:t>
      </w:r>
    </w:p>
    <w:p>
      <w:pPr>
        <w:pStyle w:val="Normal"/>
        <w:spacing w:line="432" w:lineRule="auto"/>
      </w:pPr>
      <w:r>
        <w:rPr>
          <w:sz w:val="22"/>
        </w:rPr>
      </w:r>
    </w:p>
    <w:p>
      <w:pPr>
        <w:pStyle w:val="Normal"/>
        <w:spacing w:line="432" w:lineRule="auto"/>
      </w:pPr>
      <w:r>
        <w:rPr>
          <w:sz w:val="22"/>
        </w:rPr>
        <w:t>(D) serving, or attending upon any court in connection with possible service, as a grand or petit juror in any court of the United States;</w:t>
      </w:r>
    </w:p>
    <w:p>
      <w:pPr>
        <w:pStyle w:val="Normal"/>
        <w:spacing w:line="432" w:lineRule="auto"/>
      </w:pPr>
      <w:r>
        <w:rPr>
          <w:sz w:val="22"/>
        </w:rPr>
      </w:r>
    </w:p>
    <w:p>
      <w:pPr>
        <w:pStyle w:val="Normal"/>
        <w:spacing w:line="432" w:lineRule="auto"/>
      </w:pPr>
      <w:r>
        <w:rPr>
          <w:sz w:val="22"/>
        </w:rPr>
        <w:t>(E) participating in or enjoying the benefits of any program or activity receiving Federal financial assistance; or</w:t>
      </w:r>
    </w:p>
    <w:p>
      <w:pPr>
        <w:pStyle w:val="Normal"/>
        <w:spacing w:line="432" w:lineRule="auto"/>
      </w:pPr>
      <w:r>
        <w:rPr>
          <w:sz w:val="22"/>
        </w:rPr>
      </w:r>
    </w:p>
    <w:p>
      <w:pPr>
        <w:pStyle w:val="Normal"/>
        <w:spacing w:line="432" w:lineRule="auto"/>
      </w:pPr>
      <w:r>
        <w:rPr>
          <w:sz w:val="22"/>
        </w:rPr>
      </w:r>
    </w:p>
    <w:p>
      <w:pPr>
        <w:pStyle w:val="Normal"/>
        <w:spacing w:line="432" w:lineRule="auto"/>
      </w:pPr>
      <w:r>
        <w:rPr>
          <w:sz w:val="22"/>
        </w:rPr>
        <w:t>(2) any person because of his race, color, religion or national origin and because he is or has been—</w:t>
      </w:r>
    </w:p>
    <w:p>
      <w:pPr>
        <w:pStyle w:val="Normal"/>
        <w:spacing w:line="432" w:lineRule="auto"/>
      </w:pPr>
      <w:r>
        <w:rPr>
          <w:sz w:val="22"/>
        </w:rPr>
      </w:r>
    </w:p>
    <w:p>
      <w:pPr>
        <w:pStyle w:val="Normal"/>
        <w:spacing w:line="432" w:lineRule="auto"/>
      </w:pPr>
      <w:r>
        <w:rPr>
          <w:sz w:val="22"/>
        </w:rPr>
        <w:t>(A) enrolling in or attending any public school or public college;</w:t>
      </w:r>
    </w:p>
    <w:p>
      <w:pPr>
        <w:pStyle w:val="Normal"/>
        <w:spacing w:line="432" w:lineRule="auto"/>
      </w:pPr>
      <w:r>
        <w:rPr>
          <w:sz w:val="22"/>
        </w:rPr>
      </w:r>
    </w:p>
    <w:p>
      <w:pPr>
        <w:pStyle w:val="Normal"/>
        <w:spacing w:line="432" w:lineRule="auto"/>
      </w:pPr>
      <w:r>
        <w:rPr>
          <w:sz w:val="22"/>
        </w:rPr>
        <w:t>(B) participating in or enjoying any benefit, service, privilege, program, facility or activity provided or administered by any State or subdivision thereof;</w:t>
      </w:r>
    </w:p>
    <w:p>
      <w:pPr>
        <w:pStyle w:val="Normal"/>
        <w:spacing w:line="432" w:lineRule="auto"/>
      </w:pPr>
      <w:r>
        <w:rPr>
          <w:sz w:val="22"/>
        </w:rPr>
      </w:r>
    </w:p>
    <w:p>
      <w:pPr>
        <w:pStyle w:val="Normal"/>
        <w:spacing w:line="432" w:lineRule="auto"/>
      </w:pPr>
      <w:r>
        <w:rPr>
          <w:sz w:val="22"/>
        </w:rPr>
        <w:t>(C) applying for or enjoying employment, or any perquisite thereof, by any private employer or any agency of any State or subdivision thereof, or joining or using the services or advantages of any labor organization, hiring hall, or employment agency;</w:t>
      </w:r>
    </w:p>
    <w:p>
      <w:pPr>
        <w:pStyle w:val="Normal"/>
        <w:spacing w:line="432" w:lineRule="auto"/>
      </w:pPr>
      <w:r>
        <w:rPr>
          <w:sz w:val="22"/>
        </w:rPr>
      </w:r>
    </w:p>
    <w:p>
      <w:pPr>
        <w:pStyle w:val="Normal"/>
        <w:spacing w:line="432" w:lineRule="auto"/>
      </w:pPr>
      <w:r>
        <w:rPr>
          <w:sz w:val="22"/>
        </w:rPr>
        <w:t>(D) serving, or attending upon any court of any State in connection with possible service, as a grand or petit juror;</w:t>
      </w:r>
    </w:p>
    <w:p>
      <w:pPr>
        <w:pStyle w:val="Normal"/>
        <w:spacing w:line="432" w:lineRule="auto"/>
      </w:pPr>
      <w:r>
        <w:rPr>
          <w:sz w:val="22"/>
        </w:rPr>
      </w:r>
    </w:p>
    <w:p>
      <w:pPr>
        <w:pStyle w:val="Normal"/>
        <w:spacing w:line="432" w:lineRule="auto"/>
      </w:pPr>
      <w:r>
        <w:rPr>
          <w:sz w:val="22"/>
        </w:rPr>
        <w:t>(E) traveling in or using any facility of interstate commerce, or using any vehicle, terminal, or facility of any common carrier by motor, rail, water, or air;</w:t>
      </w:r>
    </w:p>
    <w:p>
      <w:pPr>
        <w:pStyle w:val="Normal"/>
        <w:spacing w:line="432" w:lineRule="auto"/>
      </w:pPr>
      <w:r>
        <w:rPr>
          <w:sz w:val="22"/>
        </w:rPr>
      </w:r>
    </w:p>
    <w:p>
      <w:pPr>
        <w:pStyle w:val="Normal"/>
        <w:spacing w:line="432" w:lineRule="auto"/>
      </w:pPr>
      <w:r>
        <w:rPr>
          <w:sz w:val="22"/>
        </w:rPr>
        <w:t>(F) enjoying the goods, services, facilities, privileges, advantages, or accommodations of any inn, hotel, motel, or other establishment which provides lodging to transient guests, or of any restaurant, cafeteria, lunchroom, lunch counter, soda fountain, or other facility which serves the public and which is principally engaged in selling food or beverages for consumption on the premises, or of any gasoline station, or of any motion picture house, theater, concert hall, sports arena, stadium, or any other place of exhibition or entertainment which serves the public, or of any other establishment which serves the public and (i) which is located within the premises of any of the aforesaid establishments or within the premises of which is physically located any of the aforesaid establishments, and (ii) which holds itself out as serving patrons of such establishments; or</w:t>
      </w:r>
    </w:p>
    <w:p>
      <w:pPr>
        <w:pStyle w:val="Normal"/>
        <w:spacing w:line="432" w:lineRule="auto"/>
      </w:pPr>
      <w:r>
        <w:rPr>
          <w:sz w:val="22"/>
        </w:rPr>
      </w:r>
    </w:p>
    <w:p>
      <w:pPr>
        <w:pStyle w:val="Normal"/>
        <w:spacing w:line="432" w:lineRule="auto"/>
      </w:pPr>
      <w:r>
        <w:rPr>
          <w:sz w:val="22"/>
        </w:rPr>
      </w:r>
    </w:p>
    <w:p>
      <w:pPr>
        <w:pStyle w:val="Normal"/>
        <w:spacing w:line="432" w:lineRule="auto"/>
      </w:pPr>
      <w:r>
        <w:rPr>
          <w:sz w:val="22"/>
        </w:rPr>
        <w:t>(3) during or incident to a riot or civil disorder, any person engaged in a business in commerce or affecting commerce, including, but not limited to, any person engaged in a business which sells or offers for sale to interstate travelers a substantial portion of the articles, commodities, or services which it sells or where a substantial portion of the articles or commodities which it sells or offers for sale have moved in commerce; or</w:t>
      </w:r>
    </w:p>
    <w:p>
      <w:pPr>
        <w:pStyle w:val="Normal"/>
        <w:spacing w:line="432" w:lineRule="auto"/>
      </w:pPr>
      <w:r>
        <w:rPr>
          <w:sz w:val="22"/>
        </w:rPr>
      </w:r>
    </w:p>
    <w:p>
      <w:pPr>
        <w:pStyle w:val="Normal"/>
        <w:spacing w:line="432" w:lineRule="auto"/>
      </w:pPr>
      <w:r>
        <w:rPr>
          <w:sz w:val="22"/>
        </w:rPr>
        <w:t>(4) any person because he is or has been, or in order to intimidate such person or any other person or any class of persons from— Domestic Relations Mediation</w:t>
      </w:r>
    </w:p>
    <w:p>
      <w:pPr>
        <w:pStyle w:val="Normal"/>
        <w:spacing w:line="432" w:lineRule="auto"/>
      </w:pPr>
      <w:r>
        <w:t>‐ Baccalaureate degree from an accredited four‐year college</w:t>
      </w:r>
    </w:p>
    <w:p>
      <w:pPr>
        <w:pStyle w:val="Normal"/>
        <w:spacing w:line="432" w:lineRule="auto"/>
      </w:pPr>
      <w:r>
        <w:rPr>
          <w:sz w:val="22"/>
        </w:rPr>
        <w:t>‐ Completion of approved General Civil Mediation course</w:t>
      </w:r>
    </w:p>
    <w:p>
      <w:pPr>
        <w:pStyle w:val="Normal"/>
        <w:spacing w:line="432" w:lineRule="auto"/>
      </w:pPr>
      <w:r>
        <w:rPr>
          <w:sz w:val="22"/>
        </w:rPr>
        <w:t>‐ 42 hour training course</w:t>
      </w:r>
    </w:p>
    <w:p>
      <w:pPr>
        <w:pStyle w:val="Normal"/>
        <w:spacing w:line="432" w:lineRule="auto"/>
      </w:pPr>
      <w:r>
        <w:rPr>
          <w:sz w:val="22"/>
        </w:rPr>
        <w:t>‐ 1 observation and 2 co‐mediations completed with a registered neutral</w:t>
      </w:r>
    </w:p>
    <w:p>
      <w:pPr>
        <w:pStyle w:val="Normal"/>
        <w:spacing w:line="432" w:lineRule="auto"/>
      </w:pPr>
      <w:r>
        <w:rPr>
          <w:sz w:val="22"/>
        </w:rPr>
        <w:t>Or</w:t>
      </w:r>
    </w:p>
    <w:p>
      <w:pPr>
        <w:pStyle w:val="Normal"/>
        <w:spacing w:line="432" w:lineRule="auto"/>
      </w:pPr>
      <w:r>
        <w:rPr>
          <w:sz w:val="22"/>
        </w:rPr>
        <w:t>‐ 12 hour practicum</w:t>
      </w:r>
    </w:p>
    <w:p>
      <w:pPr>
        <w:pStyle w:val="Normal"/>
        <w:spacing w:line="432" w:lineRule="auto"/>
      </w:pPr>
      <w:r>
        <w:rPr>
          <w:sz w:val="22"/>
        </w:rPr>
        <w:t>Specialized Domestic Violence Mediation</w:t>
      </w:r>
    </w:p>
    <w:p>
      <w:pPr>
        <w:pStyle w:val="Normal"/>
        <w:spacing w:line="432" w:lineRule="auto"/>
      </w:pPr>
      <w:r>
        <w:rPr>
          <w:sz w:val="22"/>
        </w:rPr>
        <w:t>‐ Registration in Domestic Relations Mediation</w:t>
      </w:r>
    </w:p>
    <w:p>
      <w:pPr>
        <w:pStyle w:val="Normal"/>
        <w:spacing w:line="432" w:lineRule="auto"/>
      </w:pPr>
      <w:r>
        <w:rPr>
          <w:sz w:val="22"/>
        </w:rPr>
        <w:t>‐ 14 hour training course</w:t>
      </w:r>
    </w:p>
    <w:p>
      <w:pPr>
        <w:pStyle w:val="Normal"/>
        <w:spacing w:line="432" w:lineRule="auto"/>
      </w:pPr>
      <w:r>
        <w:rPr>
          <w:sz w:val="22"/>
        </w:rPr>
        <w:t>‐ Letter of recommendation from ADR program administrator familiar with applicant’s work</w:t>
      </w:r>
    </w:p>
    <w:p>
      <w:pPr>
        <w:pStyle w:val="Normal"/>
        <w:spacing w:line="432" w:lineRule="auto"/>
      </w:pPr>
      <w:r>
        <w:rPr>
          <w:sz w:val="22"/>
        </w:rPr>
        <w:t>Juvenile Delinquency Mediation</w:t>
      </w:r>
    </w:p>
    <w:p>
      <w:pPr>
        <w:pStyle w:val="Normal"/>
        <w:spacing w:line="432" w:lineRule="auto"/>
      </w:pPr>
      <w:r>
        <w:rPr>
          <w:sz w:val="22"/>
        </w:rPr>
        <w:t>‐ Completion of approved General Civil Mediation course</w:t>
      </w:r>
    </w:p>
    <w:p>
      <w:pPr>
        <w:pStyle w:val="Normal"/>
        <w:spacing w:line="432" w:lineRule="auto"/>
      </w:pPr>
      <w:r>
        <w:rPr>
          <w:sz w:val="22"/>
        </w:rPr>
        <w:t>‐ 21 hour training course</w:t>
      </w:r>
    </w:p>
    <w:p>
      <w:pPr>
        <w:pStyle w:val="Normal"/>
        <w:spacing w:line="432" w:lineRule="auto"/>
      </w:pPr>
      <w:r>
        <w:rPr>
          <w:sz w:val="22"/>
        </w:rPr>
        <w:t>Juvenile Dependency Mediation</w:t>
      </w:r>
    </w:p>
    <w:p>
      <w:pPr>
        <w:pStyle w:val="Normal"/>
        <w:spacing w:line="432" w:lineRule="auto"/>
      </w:pPr>
      <w:r>
        <w:rPr>
          <w:sz w:val="22"/>
        </w:rPr>
        <w:t>‐ Completion of approved Juvenile Delinquency Mediation course</w:t>
      </w:r>
    </w:p>
    <w:p>
      <w:pPr>
        <w:pStyle w:val="Normal"/>
        <w:spacing w:line="432" w:lineRule="auto"/>
      </w:pPr>
      <w:r>
        <w:rPr>
          <w:sz w:val="22"/>
        </w:rPr>
        <w:t>‐ 28 hour training course (if not registered in Domestic Relations category)</w:t>
      </w:r>
    </w:p>
    <w:p>
      <w:pPr>
        <w:pStyle w:val="Normal"/>
        <w:spacing w:line="432" w:lineRule="auto"/>
      </w:pPr>
      <w:r>
        <w:rPr>
          <w:sz w:val="22"/>
        </w:rPr>
        <w:t>Or</w:t>
      </w:r>
    </w:p>
    <w:p>
      <w:pPr>
        <w:pStyle w:val="Normal"/>
        <w:spacing w:line="432" w:lineRule="auto"/>
      </w:pPr>
      <w:r>
        <w:rPr>
          <w:sz w:val="22"/>
        </w:rPr>
        <w:t>‐ 21 hour training course (if already registered in Domestic Relations category)</w:t>
      </w:r>
    </w:p>
    <w:p>
      <w:pPr>
        <w:pStyle w:val="Normal"/>
        <w:spacing w:line="432" w:lineRule="auto"/>
      </w:pPr>
      <w:r>
        <w:rPr>
          <w:sz w:val="22"/>
        </w:rPr>
        <w:t>Early Neutral Evaluation</w:t>
      </w:r>
    </w:p>
    <w:p>
      <w:pPr>
        <w:pStyle w:val="Normal"/>
        <w:spacing w:line="432" w:lineRule="auto"/>
      </w:pPr>
      <w:r>
        <w:rPr>
          <w:sz w:val="22"/>
        </w:rPr>
        <w:t>‐ Lawyer with extensive subject matter expertise in the area of the litigation in question</w:t>
      </w:r>
    </w:p>
    <w:p>
      <w:pPr>
        <w:pStyle w:val="Normal"/>
        <w:spacing w:line="432" w:lineRule="auto"/>
      </w:pPr>
      <w:r>
        <w:rPr>
          <w:sz w:val="22"/>
        </w:rPr>
        <w:t>‐ 6 hour training course</w:t>
      </w:r>
    </w:p>
    <w:p>
      <w:pPr>
        <w:pStyle w:val="Normal"/>
        <w:spacing w:line="432" w:lineRule="auto"/>
      </w:pPr>
      <w:r>
        <w:rPr>
          <w:sz w:val="22"/>
        </w:rPr>
        <w:t>‐ Recommended: 28 hour general civil mediation training</w:t>
      </w:r>
    </w:p>
    <w:p>
      <w:pPr>
        <w:pStyle w:val="Normal"/>
        <w:spacing w:line="432" w:lineRule="auto"/>
      </w:pPr>
      <w:r>
        <w:rPr>
          <w:sz w:val="22"/>
        </w:rPr>
        <w:t>While pre‐approved trainings are not required, they are strongly encouraged in order to ensure training</w:t>
      </w:r>
    </w:p>
    <w:p>
      <w:pPr>
        <w:pStyle w:val="Normal"/>
        <w:spacing w:line="432" w:lineRule="auto"/>
      </w:pPr>
      <w:r>
        <w:rPr>
          <w:sz w:val="22"/>
        </w:rPr>
        <w:t>will meet qualification for registration. As a rule, online trainings are never accepted toward registration.</w:t>
      </w:r>
    </w:p>
    <w:p>
      <w:pPr>
        <w:pStyle w:val="Normal"/>
        <w:spacing w:line="432" w:lineRule="auto"/>
      </w:pPr>
      <w:r>
        <w:rPr>
          <w:sz w:val="22"/>
        </w:rPr>
        <w:t>For a list of pre‐approved trainings, visit our website at godr.org</w:t>
      </w:r>
    </w:p>
    <w:p>
      <w:pPr>
        <w:pStyle w:val="Normal"/>
        <w:spacing w:line="432" w:lineRule="auto"/>
      </w:pPr>
      <w:r>
        <w:rPr>
          <w:sz w:val="22"/>
        </w:rPr>
        <w:t>If you choose to complete observations/co‐mediations, please complete the required form (found under</w:t>
      </w:r>
    </w:p>
    <w:p>
      <w:pPr>
        <w:pStyle w:val="Normal"/>
        <w:spacing w:line="432" w:lineRule="auto"/>
      </w:pPr>
      <w:r>
        <w:rPr>
          <w:sz w:val="22"/>
        </w:rPr>
        <w:t>forms &amp; applications) to submit with your training certificate.</w:t>
      </w:r>
    </w:p>
    <w:p>
      <w:pPr>
        <w:pStyle w:val="Normal"/>
        <w:spacing w:line="432" w:lineRule="auto"/>
      </w:pPr>
      <w:r>
        <w:rPr>
          <w:sz w:val="22"/>
        </w:rPr>
        <w:t>Note: The mediator observed must be actively registered with GODR. This form is fillable and may be completed electronically.</w:t>
      </w:r>
    </w:p>
    <w:p>
      <w:pPr>
        <w:pStyle w:val="Normal"/>
        <w:spacing w:line="432" w:lineRule="auto"/>
      </w:pPr>
      <w:r>
        <w:rPr>
          <w:sz w:val="22"/>
        </w:rPr>
        <w:t>You will need to upload all training forms to your Georgia Courts Registrar account, which is outlined in</w:t>
      </w:r>
    </w:p>
    <w:p>
      <w:pPr>
        <w:pStyle w:val="Normal"/>
        <w:spacing w:line="432" w:lineRule="auto"/>
      </w:pPr>
      <w:r>
        <w:rPr>
          <w:sz w:val="22"/>
        </w:rPr>
        <w:t>the next step. For assistance, you may reach the Georgia Courts Registrar team at</w:t>
      </w:r>
    </w:p>
    <w:p>
      <w:pPr>
        <w:pStyle w:val="Normal"/>
        <w:spacing w:line="432" w:lineRule="auto"/>
      </w:pPr>
      <w:r>
        <w:rPr>
          <w:sz w:val="22"/>
        </w:rPr>
        <w:t>gcr@georgiacourts.gov or 404‐463‐3808.</w:t>
      </w:r>
    </w:p>
    <w:p>
      <w:pPr>
        <w:pStyle w:val="Normal"/>
        <w:spacing w:line="432" w:lineRule="auto"/>
      </w:pPr>
      <w:r>
        <w:rPr>
          <w:sz w:val="22"/>
        </w:rPr>
      </w:r>
    </w:p>
    <w:p>
      <w:pPr>
        <w:pStyle w:val="Normal"/>
        <w:spacing w:line="432" w:lineRule="auto"/>
      </w:pPr>
      <w:r>
        <w:rPr>
          <w:sz w:val="22"/>
        </w:rPr>
        <w:t>(A) participating, without discrimination on account of race, color, religion or national origin, in any of the benefits or activities described in subparagraphs (1)(A) through (1)(E) or subparagraphs (2)(A) through (2)(F); or, please see the HUD RIGHT TO SUE LETTER and case attachments as evidence; Tinika Warren, et al v. HUD Headquarters, et al  ,  Original Case: 1:18-cv-05299</w:t>
      </w:r>
    </w:p>
    <w:p>
      <w:pPr>
        <w:pStyle w:val="Normal"/>
        <w:spacing w:line="432" w:lineRule="auto"/>
      </w:pPr>
      <w:r/>
    </w:p>
    <w:p>
      <w:pPr>
        <w:pStyle w:val="Normal"/>
        <w:spacing w:line="432" w:lineRule="auto"/>
      </w:pPr>
      <w:r>
        <w:rPr>
          <w:sz w:val="22"/>
        </w:rPr>
        <w:t>Eleventh Circuit U.S. Court of Appeals</w:t>
      </w:r>
    </w:p>
    <w:p>
      <w:pPr>
        <w:pStyle w:val="Normal"/>
        <w:spacing w:line="432" w:lineRule="auto"/>
      </w:pPr>
      <w:r>
        <w:rPr>
          <w:sz w:val="22"/>
        </w:rPr>
        <w:t>Case #:</w:t>
      </w:r>
      <w:r>
        <w:rPr>
          <w:sz w:val="22"/>
        </w:rPr>
        <w:tab/>
        <w:t>0:20-prici-13236</w:t>
      </w:r>
    </w:p>
    <w:p>
      <w:pPr>
        <w:pStyle w:val="Normal"/>
        <w:spacing w:line="432" w:lineRule="auto"/>
      </w:pPr>
      <w:r>
        <w:rPr>
          <w:sz w:val="22"/>
        </w:rPr>
        <w:t>Type</w:t>
      </w:r>
      <w:r>
        <w:rPr>
          <w:sz w:val="22"/>
        </w:rPr>
        <w:tab/>
        <w:t>private civil / federal question</w:t>
      </w:r>
    </w:p>
    <w:p>
      <w:pPr>
        <w:pStyle w:val="Normal"/>
        <w:spacing w:line="432" w:lineRule="auto"/>
      </w:pPr>
      <w:r>
        <w:rPr>
          <w:sz w:val="22"/>
        </w:rPr>
        <w:t>Nature of Suit</w:t>
      </w:r>
      <w:r>
        <w:rPr>
          <w:sz w:val="22"/>
        </w:rPr>
        <w:tab/>
        <w:t>446 Civil Rights - Amer w/Disabilities - Other</w:t>
      </w:r>
    </w:p>
    <w:p>
      <w:pPr>
        <w:pStyle w:val="Normal"/>
        <w:spacing w:line="432" w:lineRule="auto"/>
      </w:pPr>
      <w:r>
        <w:rPr>
          <w:sz w:val="22"/>
        </w:rPr>
      </w:r>
    </w:p>
    <w:p>
      <w:pPr>
        <w:pStyle w:val="Normal"/>
        <w:spacing w:line="432" w:lineRule="auto"/>
      </w:pPr>
      <w:r>
        <w:rPr>
          <w:sz w:val="22"/>
        </w:rPr>
        <w:t>(B) affording another person or class of persons opportunity or protection to so participate; or</w:t>
      </w:r>
    </w:p>
    <w:p>
      <w:pPr>
        <w:pStyle w:val="Normal"/>
        <w:spacing w:line="432" w:lineRule="auto"/>
      </w:pPr>
      <w:r>
        <w:rPr>
          <w:sz w:val="22"/>
        </w:rPr>
      </w:r>
    </w:p>
    <w:p>
      <w:pPr>
        <w:pStyle w:val="Normal"/>
        <w:spacing w:line="432" w:lineRule="auto"/>
      </w:pPr>
      <w:r>
        <w:rPr>
          <w:sz w:val="22"/>
        </w:rPr>
      </w:r>
    </w:p>
    <w:p>
      <w:pPr>
        <w:pStyle w:val="Normal"/>
        <w:spacing w:line="432" w:lineRule="auto"/>
      </w:pPr>
      <w:r>
        <w:rPr>
          <w:sz w:val="22"/>
        </w:rPr>
        <w:t xml:space="preserve">(5) any citizen because he is or has been, or in order to intimidate such citizen or any other citizen from lawfully aiding or encouraging other persons to participate, without discrimination on account of race, color, religion or national origin, in any of the benefits or activities described in subparagraphs (1)(A) through (1)(E) or subparagraphs (2)(A) through (2)(F), or participating lawfully in speech or peaceful assembly opposing any denial of the opportunity to so participate—  Warren v. AT&amp;T Corporate Offices of Atlanta, Georgia et al  , </w:t>
      </w:r>
      <w:r>
        <w:t xml:space="preserve">Georgia Northern District Court,  </w:t>
      </w:r>
      <w:r>
        <w:t>Judge: Steven D Grimberg</w:t>
      </w:r>
    </w:p>
    <w:p>
      <w:pPr>
        <w:pStyle w:val="Normal"/>
        <w:numPr>
          <w:ilvl w:val="0"/>
          <w:numId w:val="10121982"/>
        </w:numPr>
        <w:spacing w:line="432" w:lineRule="auto"/>
      </w:pPr>
      <w:r>
        <w:rPr>
          <w:sz w:val="22"/>
        </w:rPr>
        <w:t>Case #:</w:t>
      </w:r>
      <w:r>
        <w:rPr>
          <w:sz w:val="22"/>
        </w:rPr>
        <w:tab/>
        <w:t>1:20-cv-00145</w:t>
      </w:r>
    </w:p>
    <w:p>
      <w:pPr>
        <w:pStyle w:val="Normal"/>
        <w:numPr>
          <w:ilvl w:val="0"/>
          <w:numId w:val="10121982"/>
        </w:numPr>
        <w:spacing w:line="432" w:lineRule="auto"/>
      </w:pPr>
      <w:r>
        <w:rPr>
          <w:sz w:val="22"/>
        </w:rPr>
        <w:t>Nature of Suit</w:t>
      </w:r>
      <w:r>
        <w:rPr>
          <w:sz w:val="22"/>
        </w:rPr>
        <w:tab/>
        <w:t>440 Civil Rights - Other Civil Rights</w:t>
      </w:r>
    </w:p>
    <w:p>
      <w:pPr>
        <w:pStyle w:val="Normal"/>
        <w:numPr>
          <w:ilvl w:val="0"/>
          <w:numId w:val="10121982"/>
        </w:numPr>
        <w:spacing w:line="432" w:lineRule="auto"/>
      </w:pPr>
      <w:r>
        <w:rPr>
          <w:sz w:val="22"/>
        </w:rPr>
        <w:t>Cause</w:t>
      </w:r>
      <w:r>
        <w:rPr>
          <w:sz w:val="22"/>
        </w:rPr>
        <w:tab/>
        <w:t>42:1983 Civil Rights Act</w:t>
      </w:r>
    </w:p>
    <w:p>
      <w:pPr>
        <w:pStyle w:val="Normal"/>
        <w:numPr>
          <w:ilvl w:val="0"/>
          <w:numId w:val="10121982"/>
        </w:numPr>
        <w:spacing w:line="432" w:lineRule="auto"/>
      </w:pPr>
      <w:r>
        <w:rPr>
          <w:sz w:val="22"/>
        </w:rPr>
        <w:t>Case Filed:</w:t>
      </w:r>
      <w:r>
        <w:rPr>
          <w:sz w:val="22"/>
        </w:rPr>
        <w:tab/>
        <w:t>Jan 10, 2020</w:t>
      </w:r>
    </w:p>
    <w:p>
      <w:pPr>
        <w:pStyle w:val="Normal"/>
        <w:numPr>
          <w:ilvl w:val="0"/>
          <w:numId w:val="10121982"/>
        </w:numPr>
        <w:spacing w:line="432" w:lineRule="auto"/>
      </w:pPr>
      <w:r>
        <w:rPr>
          <w:sz w:val="22"/>
        </w:rPr>
        <w:t>Terminated:</w:t>
      </w:r>
      <w:r>
        <w:rPr>
          <w:sz w:val="22"/>
        </w:rPr>
        <w:tab/>
        <w:t>May 19, 2020</w:t>
      </w:r>
    </w:p>
    <w:p>
      <w:pPr>
        <w:pStyle w:val="Normal"/>
        <w:spacing w:line="432" w:lineRule="auto"/>
      </w:pPr>
      <w:r>
        <w:rPr>
          <w:sz w:val="22"/>
        </w:rPr>
      </w:r>
    </w:p>
    <w:p>
      <w:pPr>
        <w:pStyle w:val="Normal"/>
        <w:spacing w:line="432" w:lineRule="auto"/>
      </w:pPr>
      <w:r>
        <w:rPr>
          <w:sz w:val="22"/>
        </w:rPr>
      </w:r>
    </w:p>
    <w:p>
      <w:pPr>
        <w:pStyle w:val="Normal"/>
        <w:spacing w:line="432" w:lineRule="auto"/>
      </w:pPr>
      <w:r>
        <w:rPr>
          <w:sz w:val="22"/>
        </w:rPr>
        <w:t>shall be fined under this title, or imprisoned not more than one year, or both; and if bodily injury results from the acts committed in violation of this section or if such acts include the use, attempted use, or threatened use of a dangerous weapon, explosives, or fire shall be fined under this title, or imprisoned not more than ten years, or both; and if death results from the acts committed in violation of this section or if such acts include kidnapping or an attempt to kidnap, aggravated sexual abuse or an attempt to commit aggravated sexual abuse, or an attempt to kill, shall be fined under this title or imprisoned for any term of years or for life, or both, or may be sentenced to death. As used in this section, the term "participating lawfully in speech or peaceful assembly" shall not mean the aiding, abetting, or inciting of other persons to riot or to commit any act of physical violence upon any individual or against any real or personal property in furtherance of a riot. Nothing in subparagraph (2)(F) or (4)(A) of this subsection shall apply to the proprietor of any establishment which provides lodging to transient guests, or to any employee acting on behalf of such proprietor, with respect to the enjoyment of the goods, services, facilities, privileges, advantages, or accommodations of such establishment if such establishment is located within a building which contains not more than five rooms for rent or hire and which is actually occupied by the proprietor as his residence.</w:t>
      </w:r>
    </w:p>
    <w:p>
      <w:pPr>
        <w:pStyle w:val="Normal"/>
        <w:spacing w:line="432" w:lineRule="auto"/>
      </w:pPr>
      <w:r>
        <w:rPr>
          <w:sz w:val="22"/>
        </w:rPr>
      </w:r>
    </w:p>
    <w:p>
      <w:pPr>
        <w:pStyle w:val="Normal"/>
        <w:spacing w:line="432" w:lineRule="auto"/>
      </w:pPr>
      <w:r>
        <w:rPr>
          <w:sz w:val="22"/>
        </w:rPr>
        <w:t>(c) Nothing in this section shall be construed so as to deter any law enforcement officer from lawfully carrying out the duties of his office; and no law enforcement officer shall be considered to be in violation of this section for lawfully carrying out the duties of his office or lawfully enforcing ordinances and laws of the United States, the District of Columbia, any of the several States, or any political subdivision of a State. For purposes of the preceding sentence, the term "law enforcement officer" means any officer of the United States, the District of Columbia, a State, or political subdivision of a State, who is empowered by law to conduct investigations of, or make arrests because of, offenses against the United States, the District of Columbia, a State, or a political subdivision of a State.</w:t>
      </w:r>
    </w:p>
    <w:p>
      <w:pPr>
        <w:pStyle w:val="Normal"/>
        <w:spacing w:line="432" w:lineRule="auto"/>
      </w:pPr>
      <w:r>
        <w:rPr>
          <w:sz w:val="22"/>
        </w:rPr>
      </w:r>
    </w:p>
    <w:p>
      <w:pPr>
        <w:pStyle w:val="Normal"/>
        <w:spacing w:line="432" w:lineRule="auto"/>
      </w:pPr>
      <w:r>
        <w:rPr>
          <w:sz w:val="22"/>
        </w:rPr>
        <w:t>(d) For purposes of this section, the term "State" includes a State of the United States, the District of Columbia, and any commonwealth, territory, or possession of the United States.</w:t>
      </w:r>
    </w:p>
    <w:p>
      <w:pPr>
        <w:pStyle w:val="Normal"/>
        <w:spacing w:line="432" w:lineRule="auto"/>
      </w:pPr>
      <w:r>
        <w:rPr>
          <w:sz w:val="22"/>
        </w:rPr>
      </w:r>
    </w:p>
    <w:p>
      <w:pPr>
        <w:pStyle w:val="Normal"/>
        <w:spacing w:line="432" w:lineRule="auto"/>
      </w:pPr>
      <w:r>
        <w:rPr>
          <w:sz w:val="22"/>
        </w:rPr>
        <w:t>(Added Pub. L. 90–284, title I, §101(a), Apr. 11, 1968, 82 Stat. 73; amended Pub. L. 100–690, title VII, §7020(a), Nov. 18, 1988, 102 Stat. 4396; Pub. L. 101–647, title XII, §1205(b), Nov. 29, 1990, 104 Stat. 4830; Pub. L. 103–322, title VI, §60006(c), title XXXII, §320103(c), title XXXIII, §330016(1)(H), (L), Sept. 13, 1994, 108 Stat. 1971, 2109, 2147; Pub. L. 104–294, title VI, §604(b)(14)(C), (37), Oct. 11, 1996, 110 Stat. 3507, 3509.)</w:t>
      </w:r>
    </w:p>
    <w:p>
      <w:pPr>
        <w:pStyle w:val="Normal"/>
        <w:spacing w:line="432" w:lineRule="auto"/>
      </w:pPr>
      <w:r>
        <w:rPr>
          <w:sz w:val="22"/>
        </w:rPr>
      </w:r>
    </w:p>
    <w:p>
      <w:pPr>
        <w:pStyle w:val="Normal"/>
        <w:spacing w:line="432" w:lineRule="auto"/>
      </w:pPr>
      <w:r>
        <w:rPr>
          <w:sz w:val="22"/>
        </w:rPr>
      </w:r>
    </w:p>
    <w:p>
      <w:pPr>
        <w:pStyle w:val="Normal"/>
        <w:spacing w:line="432" w:lineRule="auto"/>
      </w:pPr>
      <w:r>
        <w:rPr>
          <w:sz w:val="22"/>
        </w:rPr>
      </w:r>
    </w:p>
    <w:p>
      <w:pPr>
        <w:pStyle w:val="Normal"/>
        <w:spacing w:line="432" w:lineRule="auto"/>
      </w:pPr>
      <w:r>
        <w:rPr>
          <w:sz w:val="22"/>
        </w:rPr>
        <w:t xml:space="preserve"> </w:t>
      </w:r>
    </w:p>
    <w:p>
      <w:pPr>
        <w:pStyle w:val="Normal"/>
        <w:spacing w:line="432" w:lineRule="auto"/>
      </w:pPr>
      <w:r>
        <w:rPr>
          <w:sz w:val="22"/>
        </w:rPr>
      </w:r>
    </w:p>
    <w:p>
      <w:pPr>
        <w:pStyle w:val="Normal"/>
        <w:spacing w:line="432" w:lineRule="auto"/>
      </w:pPr>
      <w:r>
        <w:rPr>
          <w:sz w:val="22"/>
        </w:rPr>
        <w:t xml:space="preserve"> Fed. R. Civ. P. 9(b).  Identify the time, place, and contents of the alleged misrepresentations, and the identity of persons to whom and by whom the alleged misrepresentations were made;</w:t>
      </w:r>
    </w:p>
    <w:p>
      <w:pPr>
        <w:pStyle w:val="Normal"/>
        <w:spacing w:line="432" w:lineRule="auto"/>
      </w:pPr>
      <w:r>
        <w:rPr/>
        <w:tab/>
        <w:t>d.</w:t>
      </w:r>
      <w:r>
        <w:rPr/>
        <w:tab/>
        <w:t>State whether there has been a criminal conviction for violation of any predicate act;  Code of Medical Ethics Opinion 5.7</w:t>
      </w:r>
    </w:p>
    <w:p>
      <w:pPr>
        <w:pStyle w:val="Normal"/>
        <w:spacing w:line="432" w:lineRule="auto"/>
      </w:pPr>
      <w:r>
        <w:t>Physician-assisted suicide occurs when a physician facilitates a patient’s death by providing the necessary means and/or information to enable the patient to perform the life-ending act (e.g., the physician provides sleeping pills and information about the lethal dose, while aware that the patient may commit suicide).</w:t>
      </w:r>
    </w:p>
    <w:p>
      <w:pPr>
        <w:pStyle w:val="Normal"/>
        <w:spacing w:line="432" w:lineRule="auto"/>
      </w:pPr>
      <w:r/>
    </w:p>
    <w:p>
      <w:pPr>
        <w:pStyle w:val="Normal"/>
        <w:spacing w:line="432" w:lineRule="auto"/>
      </w:pPr>
      <w:r>
        <w:t>It is understandable, though tragic, that some patients in extreme duress—such as those suffering from a terminal, painful, debilitating illness—may come to decide that death is preferable to life. However, permitting physicians to engage in assisted suicide would ultimately cause more harm than good.</w:t>
      </w:r>
    </w:p>
    <w:p>
      <w:pPr>
        <w:pStyle w:val="Normal"/>
        <w:spacing w:line="432" w:lineRule="auto"/>
      </w:pPr>
      <w:r/>
    </w:p>
    <w:p>
      <w:pPr>
        <w:pStyle w:val="Normal"/>
        <w:spacing w:line="432" w:lineRule="auto"/>
      </w:pPr>
      <w:r>
        <w:t>Physician-assisted suicide is fundamentally incompatible with the physician’s role as healer, would be difficult or impossible to control, and would pose serious societal risks.</w:t>
      </w:r>
    </w:p>
    <w:p>
      <w:pPr>
        <w:pStyle w:val="Normal"/>
        <w:spacing w:line="432" w:lineRule="auto"/>
      </w:pPr>
      <w:r/>
    </w:p>
    <w:p>
      <w:pPr>
        <w:pStyle w:val="Normal"/>
        <w:spacing w:line="432" w:lineRule="auto"/>
      </w:pPr>
      <w:r>
        <w:t>Instead of engaging in assisted suicide, physicians must aggressively respond to the needs of patients at the end of life. Physicians:</w:t>
      </w:r>
    </w:p>
    <w:p>
      <w:pPr>
        <w:pStyle w:val="Normal"/>
        <w:spacing w:line="432" w:lineRule="auto"/>
      </w:pPr>
      <w:r/>
    </w:p>
    <w:p>
      <w:pPr>
        <w:pStyle w:val="Normal"/>
        <w:spacing w:line="432" w:lineRule="auto"/>
      </w:pPr>
      <w:r>
        <w:t>Should not abandon a patient once it is determined that cure is impossible.</w:t>
      </w:r>
    </w:p>
    <w:p>
      <w:pPr>
        <w:pStyle w:val="Normal"/>
        <w:spacing w:line="432" w:lineRule="auto"/>
      </w:pPr>
      <w:r>
        <w:t>Must respect patient autonomy.</w:t>
      </w:r>
    </w:p>
    <w:p>
      <w:pPr>
        <w:pStyle w:val="Normal"/>
        <w:spacing w:line="432" w:lineRule="auto"/>
      </w:pPr>
      <w:r>
        <w:t>Must provide good communication and emotional support.</w:t>
      </w:r>
    </w:p>
    <w:p>
      <w:pPr>
        <w:pStyle w:val="Normal"/>
        <w:spacing w:line="432" w:lineRule="auto"/>
      </w:pPr>
      <w:r>
        <w:t>Must provide appropriate comfort care and adequate pain control.</w:t>
      </w:r>
    </w:p>
    <w:p>
      <w:pPr>
        <w:pStyle w:val="Normal"/>
        <w:spacing w:line="432" w:lineRule="auto"/>
      </w:pPr>
      <w:r>
        <w:t>AMA Principles of Medical Ethics: I, VI</w:t>
      </w:r>
    </w:p>
    <w:p>
      <w:pPr>
        <w:pStyle w:val="Normal"/>
        <w:spacing w:line="432" w:lineRule="auto"/>
      </w:pPr>
      <w:r>
        <w:t>Code of Medical Ethics Opinion 1.1.7</w:t>
      </w:r>
    </w:p>
    <w:p>
      <w:pPr>
        <w:pStyle w:val="Normal"/>
        <w:spacing w:line="432" w:lineRule="auto"/>
      </w:pPr>
      <w:r>
        <w:t>Physicians are expected to uphold the ethical norms of their profession, including fidelity to patients and respect for patient self-determination. Yet physicians are not defined solely by their profession. They are moral agents in their own right and, like their patients, are informed by and committed to diverse cultural, religious, and philosophical traditions and beliefs. For some physicians, their professional calling is imbued with their foundational beliefs as persons, and at times the expectation that physicians will put patients’ needs and preferences first may be in tension with the need to sustain moral integrity and continuity across both personal and professional life.</w:t>
      </w:r>
    </w:p>
    <w:p>
      <w:pPr>
        <w:pStyle w:val="Normal"/>
        <w:spacing w:line="432" w:lineRule="auto"/>
      </w:pPr>
      <w:r/>
    </w:p>
    <w:p>
      <w:pPr>
        <w:pStyle w:val="Normal"/>
        <w:spacing w:line="432" w:lineRule="auto"/>
      </w:pPr>
      <w:r>
        <w:t>Preserving opportunity for physicians to act (or to refrain from acting) in accordance with the dictates of conscience in their professional practice is important for preserving the integrity of the medical profession as well as the integrity of the individual physician, on which patients and the public rely. Thus physicians should have considerable latitude to practice in accord with well-considered, deeply held beliefs that are central to their self-identities.</w:t>
      </w:r>
    </w:p>
    <w:p>
      <w:pPr>
        <w:pStyle w:val="Normal"/>
        <w:spacing w:line="432" w:lineRule="auto"/>
      </w:pPr>
      <w:r/>
    </w:p>
    <w:p>
      <w:pPr>
        <w:pStyle w:val="Normal"/>
        <w:spacing w:line="432" w:lineRule="auto"/>
      </w:pPr>
      <w:r>
        <w:t xml:space="preserve">Physicians’ freedom to act according to conscience is not unlimited, however. Physicians are expected to provide care in emergencies, honor patients’ informed decisions to refuse life-sustaining treatment, and respect basic civil liberties and not discriminate against individuals in deciding whether to enter into a professional relationship with a new patient. Placing in mental intituitions to be forced to become incompoetent. </w:t>
      </w:r>
    </w:p>
    <w:p>
      <w:pPr>
        <w:pStyle w:val="Normal"/>
        <w:spacing w:line="432" w:lineRule="auto"/>
      </w:pPr>
      <w:r/>
    </w:p>
    <w:p>
      <w:pPr>
        <w:pStyle w:val="Normal"/>
        <w:spacing w:line="432" w:lineRule="auto"/>
      </w:pPr>
      <w:r>
        <w:t>Warren v. Children's Hospital of Atlanta, Georgia et al</w:t>
      </w:r>
    </w:p>
    <w:p>
      <w:pPr>
        <w:pStyle w:val="Normal"/>
        <w:spacing w:line="432" w:lineRule="auto"/>
      </w:pPr>
      <w:r>
        <w:t>Georgia Northern District Court</w:t>
      </w:r>
    </w:p>
    <w:p>
      <w:pPr>
        <w:pStyle w:val="Normal"/>
        <w:spacing w:line="432" w:lineRule="auto"/>
      </w:pPr>
      <w:r>
        <w:t>Judge:</w:t>
      </w:r>
      <w:r>
        <w:tab/>
        <w:t>Steven D Grimberg</w:t>
      </w:r>
    </w:p>
    <w:p>
      <w:pPr>
        <w:pStyle w:val="Normal"/>
        <w:spacing w:line="432" w:lineRule="auto"/>
      </w:pPr>
      <w:r>
        <w:t>Case #:</w:t>
      </w:r>
      <w:r>
        <w:tab/>
        <w:t>1:19-cv-03500</w:t>
      </w:r>
    </w:p>
    <w:p>
      <w:pPr>
        <w:pStyle w:val="Normal"/>
        <w:spacing w:line="432" w:lineRule="auto"/>
      </w:pPr>
      <w:r>
        <w:t>Nature of Suit</w:t>
      </w:r>
      <w:r>
        <w:tab/>
        <w:t>362 Torts - Personal Injury - Medical Malpractice</w:t>
      </w:r>
    </w:p>
    <w:p>
      <w:pPr>
        <w:pStyle w:val="Normal"/>
        <w:spacing w:line="432" w:lineRule="auto"/>
      </w:pPr>
      <w:r>
        <w:t>Cause</w:t>
      </w:r>
      <w:r>
        <w:tab/>
        <w:t>28:1331 Fed. Question: Medical Malpractice</w:t>
      </w:r>
    </w:p>
    <w:p>
      <w:pPr>
        <w:pStyle w:val="Normal"/>
        <w:spacing w:line="432" w:lineRule="auto"/>
      </w:pPr>
      <w:r>
        <w:t>Case Filed:</w:t>
      </w:r>
      <w:r>
        <w:tab/>
        <w:t>Aug 01, 2019</w:t>
      </w:r>
    </w:p>
    <w:p>
      <w:pPr>
        <w:pStyle w:val="Normal"/>
        <w:spacing w:line="432" w:lineRule="auto"/>
      </w:pPr>
      <w:r>
        <w:t>Terminated:</w:t>
      </w:r>
      <w:r>
        <w:tab/>
        <w:t>Jul 29, 2020</w:t>
      </w:r>
    </w:p>
    <w:p>
      <w:pPr>
        <w:pStyle w:val="Normal"/>
        <w:spacing w:line="432" w:lineRule="auto"/>
      </w:pPr>
      <w:r/>
    </w:p>
    <w:p>
      <w:pPr>
        <w:pStyle w:val="Normal"/>
        <w:spacing w:line="432" w:lineRule="auto"/>
      </w:pPr>
      <w:r>
        <w:t>In following conscience, physicians should:</w:t>
      </w:r>
    </w:p>
    <w:p>
      <w:pPr>
        <w:pStyle w:val="Normal"/>
        <w:spacing w:line="432" w:lineRule="auto"/>
      </w:pPr>
      <w:r/>
    </w:p>
    <w:p>
      <w:pPr>
        <w:pStyle w:val="Normal"/>
        <w:spacing w:line="432" w:lineRule="auto"/>
      </w:pPr>
      <w:r>
        <w:t>Thoughtfully consider whether and how significantly an action (or declining to act) will undermine the physician’s personal integrity, create emotional or moral distress for the physician, or compromise the physician’s ability to provide care for the individual and other patients.</w:t>
      </w:r>
    </w:p>
    <w:p>
      <w:pPr>
        <w:pStyle w:val="Normal"/>
        <w:spacing w:line="432" w:lineRule="auto"/>
      </w:pPr>
      <w:r>
        <w:t>Before entering into a patient-physician relationship, make clear any specific interventions or services the physician cannot in good conscience provide because they are contrary to the physician’s deeply held personal beliefs, focusing on interventions or services a patient might otherwise reasonably expect the practice to offer.</w:t>
      </w:r>
    </w:p>
    <w:p>
      <w:pPr>
        <w:pStyle w:val="Normal"/>
        <w:spacing w:line="432" w:lineRule="auto"/>
      </w:pPr>
      <w:r>
        <w:t>Take care that their actions do not discriminate against or unduly burden individual patients or populations of patients and do not adversely affect patient or public trust.</w:t>
      </w:r>
    </w:p>
    <w:p>
      <w:pPr>
        <w:pStyle w:val="Normal"/>
        <w:spacing w:line="432" w:lineRule="auto"/>
      </w:pPr>
      <w:r>
        <w:t>Be mindful of the burden their actions may place on fellow professionals.</w:t>
      </w:r>
    </w:p>
    <w:p>
      <w:pPr>
        <w:pStyle w:val="Normal"/>
        <w:spacing w:line="432" w:lineRule="auto"/>
      </w:pPr>
      <w:r>
        <w:t>Uphold standards of informed consent and inform the patient about all relevant options for treatment, including options to which the physician morally objects.</w:t>
      </w:r>
    </w:p>
    <w:p>
      <w:pPr>
        <w:pStyle w:val="Normal"/>
        <w:spacing w:line="432" w:lineRule="auto"/>
      </w:pPr>
      <w:r>
        <w:t>In general, physicians should refer a patient to another physician or institution to provide treatment the physician declines to offer. When a deeply held, well-considered personal belief leads a physician also to decline to refer, the physician should offer impartial guidance to patients about how to inform themselves regarding access to desired services.</w:t>
      </w:r>
    </w:p>
    <w:p>
      <w:pPr>
        <w:pStyle w:val="Normal"/>
        <w:spacing w:line="432" w:lineRule="auto"/>
      </w:pPr>
      <w:r>
        <w:t>Continue to provide other ongoing care for the patient or formally terminate the patient-physician relationship in keeping with ethics guidance.</w:t>
      </w:r>
    </w:p>
    <w:p>
      <w:pPr>
        <w:pStyle w:val="Normal"/>
        <w:spacing w:line="432" w:lineRule="auto"/>
      </w:pPr>
      <w:r>
        <w:rPr/>
        <w:tab/>
        <w:t>e.</w:t>
      </w:r>
      <w:r>
        <w:rPr/>
        <w:tab/>
        <w:t xml:space="preserve">State whether civil litigation has resulted in a judgment with regard to any predicate act; </w:t>
      </w:r>
      <w:r>
        <w:t>em·bez·zle·ment</w:t>
      </w:r>
    </w:p>
    <w:p>
      <w:pPr>
        <w:pStyle w:val="Normal"/>
        <w:spacing w:line="432" w:lineRule="auto"/>
      </w:pPr>
      <w:r>
        <w:t>theft or misappropriation of funds placed in one's trust or belonging to one's employer.</w:t>
      </w:r>
    </w:p>
    <w:p>
      <w:pPr>
        <w:pStyle w:val="Normal"/>
        <w:spacing w:line="432" w:lineRule="auto"/>
      </w:pPr>
      <w:r>
        <w:t xml:space="preserve">"charges of fraud and embezzlement", </w:t>
      </w:r>
    </w:p>
    <w:p>
      <w:pPr>
        <w:pStyle w:val="Normal"/>
        <w:spacing w:line="432" w:lineRule="auto"/>
      </w:pPr>
      <w:r>
        <w:rPr/>
        <w:tab/>
        <w:t>f.</w:t>
      </w:r>
      <w:r>
        <w:rPr/>
        <w:tab/>
        <w:t>Describe how the predicate acts form a “pattern of racketeering activity”; and 18 U.S. Code Chapter 47 - FRAUD AND FALSE STATEMENTS  ;  18 U.S. Code § 1002 - Possession of false papers to defraud United States, HUD office, Section 8, OSHA, USDA and DOJ Federal Courts conspiracy.  18 U.S. Code § 1010 - Department of Housing and Urban Development and Federal Housing Administration transactions , by helping his friends and family members possible giving mediation agreements money to the wrong parties in order for him and them to benefit finacially to gain assets and instruments of funds.  18 U.S. Code § 1010 - Department of Housing and Urban Development and Federal Housing Administration transactions.</w:t>
      </w:r>
    </w:p>
    <w:p>
      <w:pPr>
        <w:pStyle w:val="Normal"/>
        <w:spacing w:line="432" w:lineRule="auto"/>
      </w:pPr>
    </w:p>
    <w:p>
      <w:pPr>
        <w:pStyle w:val="Normal"/>
        <w:spacing w:line="432" w:lineRule="auto"/>
      </w:pPr>
      <w:r>
        <w:t>Whoever, knowingly and with intent to defraud the United States, or any agency thereof, possesses any false, altered, forged, or counterfeited writing or document for the purpose of enabling another to obtain from the United States, or from any agency, officer or agent thereof, any sum of money, shall be fined under this title or imprisoned not more than five years, or both.</w:t>
      </w:r>
    </w:p>
    <w:p>
      <w:pPr>
        <w:pStyle w:val="Normal"/>
        <w:spacing w:line="432" w:lineRule="auto"/>
      </w:pPr>
      <w:r/>
    </w:p>
    <w:p>
      <w:pPr>
        <w:pStyle w:val="Normal"/>
        <w:spacing w:line="432" w:lineRule="auto"/>
      </w:pPr>
      <w:r>
        <w:t>(June 25, 1948, ch. 645, 62 Stat. 749; Pub. L. 103–322, title XXXIII, § 330016(1)(L), Sept. 13, 1994, 108 Stat. 2147.)</w:t>
      </w:r>
    </w:p>
    <w:p>
      <w:pPr>
        <w:pStyle w:val="Normal"/>
        <w:spacing w:line="432" w:lineRule="auto"/>
      </w:pPr>
      <w:r/>
    </w:p>
    <w:p>
      <w:pPr>
        <w:pStyle w:val="Normal"/>
        <w:spacing w:line="432" w:lineRule="auto"/>
      </w:pPr>
      <w:r>
        <w:t>All parties was not present to the table of mediation leaving the unbalanced agreement awaiting appeal. 18 U.S. Code § 1016 - Acknowledgment of appearance or oath, took false and misleading evidence, statements, papers and commited wire fraud by placing such misleading statements pertaining to my $5 million mediation agreement in US MAIL CERTIFIED to 260 Northern Ave, Avondale Estates, Georgia 30002.  Whoever, being an officer authorized to administer oaths or to take and certify acknowledgments, knowingly makes any false acknowledgment, certificate, or statement concerning the appearance before him or the taking of an oath or affirmation by any person with respect to any proposal, contract, bond, undertaking, or other matter submitted to, made with, or taken on behalf of the United States or any department or agency thereof, concerning which an oath or affirmation is required by law or lawful regulation, or with respect to the financial standing of any principal, surety, or other party to any such proposal, contract, bond, undertaking, or other instrument, shall be fined under this title or imprisoned not more than two years, or both.</w:t>
      </w:r>
    </w:p>
    <w:p>
      <w:pPr>
        <w:pStyle w:val="Normal"/>
        <w:spacing w:line="432" w:lineRule="auto"/>
      </w:pPr>
      <w:r/>
    </w:p>
    <w:p>
      <w:pPr>
        <w:pStyle w:val="Normal"/>
        <w:spacing w:line="432" w:lineRule="auto"/>
      </w:pPr>
      <w:r>
        <w:t>Warranty DEEDS were not used as factual eveidence as needed to scam me as a lottery out of my $5 million dollars , mediation agreement. 18 U.S. Code § 1021 - Title records,  Whoever, being an officer or other person authorized by any law of the United States to record a conveyance of real property or any other instrument which by such law may be recorded, knowingly certifies falsely that such conveyance or instrument has or has not been recorded, shall be fined under this title or imprisoned not more than five years, or both.</w:t>
      </w:r>
    </w:p>
    <w:p>
      <w:pPr>
        <w:pStyle w:val="Normal"/>
        <w:spacing w:line="432" w:lineRule="auto"/>
      </w:pPr>
      <w:r/>
    </w:p>
    <w:p>
      <w:pPr>
        <w:pStyle w:val="Normal"/>
        <w:spacing w:line="432" w:lineRule="auto"/>
      </w:pPr>
      <w:r>
        <w:t>(June 25, 1948, ch. 645, 62 Stat. 754; Pub. L. 103–322, title XXXIII, § 330016(1)(H), Sept. 13, 1994, 108 Stat. 2147.)</w:t>
      </w:r>
    </w:p>
    <w:p>
      <w:pPr>
        <w:pStyle w:val="Normal"/>
        <w:spacing w:line="432" w:lineRule="auto"/>
      </w:pPr>
      <w:r>
        <w:t xml:space="preserve">Title 18, U.S.C., Section 245 - Federally Protected Activities </w:t>
      </w:r>
    </w:p>
    <w:p>
      <w:pPr>
        <w:pStyle w:val="Normal"/>
        <w:spacing w:line="432" w:lineRule="auto"/>
      </w:pPr>
      <w:r>
        <w:t>1) This statute prohibits willful injury, intimidation, or interference, or attempt to do so, by force or threat of force of any person or class of persons because of their activity as:</w:t>
      </w:r>
    </w:p>
    <w:p>
      <w:pPr>
        <w:pStyle w:val="Normal"/>
        <w:spacing w:line="432" w:lineRule="auto"/>
      </w:pPr>
      <w:r/>
    </w:p>
    <w:p>
      <w:pPr>
        <w:pStyle w:val="Normal"/>
        <w:spacing w:line="432" w:lineRule="auto"/>
      </w:pPr>
      <w:r>
        <w:t>A voter, or person qualifying to vote...;</w:t>
      </w:r>
    </w:p>
    <w:p>
      <w:pPr>
        <w:pStyle w:val="Normal"/>
        <w:spacing w:line="432" w:lineRule="auto"/>
      </w:pPr>
      <w:r>
        <w:t>a participant in any benefit, service, privilege, program, facility, or activity provided or administered by the United States;</w:t>
      </w:r>
    </w:p>
    <w:p>
      <w:pPr>
        <w:pStyle w:val="Normal"/>
        <w:spacing w:line="432" w:lineRule="auto"/>
      </w:pPr>
      <w:r>
        <w:t>an applicant for federal employment or an employee by the federal government;</w:t>
      </w:r>
    </w:p>
    <w:p>
      <w:pPr>
        <w:pStyle w:val="Normal"/>
        <w:spacing w:line="432" w:lineRule="auto"/>
      </w:pPr>
      <w:r>
        <w:t>a juror or prospective juror in federal court; and</w:t>
      </w:r>
    </w:p>
    <w:p>
      <w:pPr>
        <w:pStyle w:val="Normal"/>
        <w:spacing w:line="432" w:lineRule="auto"/>
      </w:pPr>
      <w:r>
        <w:t>a participant in any program or activity receiving Federal financial assistance.</w:t>
      </w:r>
    </w:p>
    <w:p>
      <w:pPr>
        <w:pStyle w:val="Normal"/>
        <w:spacing w:line="432" w:lineRule="auto"/>
      </w:pPr>
      <w:r>
        <w:t>2) Prohibits willful injury, intimidation, or interference or attempt to do so, by force or threat of force of any person because of race, color, religion, or national origin and because of his/her activity as:</w:t>
      </w:r>
    </w:p>
    <w:p>
      <w:pPr>
        <w:pStyle w:val="Normal"/>
        <w:spacing w:line="432" w:lineRule="auto"/>
      </w:pPr>
      <w:r/>
    </w:p>
    <w:p>
      <w:pPr>
        <w:pStyle w:val="Normal"/>
        <w:spacing w:line="432" w:lineRule="auto"/>
      </w:pPr>
      <w:r>
        <w:t>A student or applicant for admission to any public school or public college;</w:t>
      </w:r>
    </w:p>
    <w:p>
      <w:pPr>
        <w:pStyle w:val="Normal"/>
        <w:spacing w:line="432" w:lineRule="auto"/>
      </w:pPr>
      <w:r>
        <w:t>a participant in any benefit, service, privilege, program, facility, or activity provided or administered by a state or local government;</w:t>
      </w:r>
    </w:p>
    <w:p>
      <w:pPr>
        <w:pStyle w:val="Normal"/>
        <w:spacing w:line="432" w:lineRule="auto"/>
      </w:pPr>
      <w:r>
        <w:t>an applicant for private or state employment, private or state employee; a member or applicant for membership in any labor organization or hiring hall; or an applicant for employment through any employment agency, labor organization or hiring hall;</w:t>
      </w:r>
    </w:p>
    <w:p>
      <w:pPr>
        <w:pStyle w:val="Normal"/>
        <w:spacing w:line="432" w:lineRule="auto"/>
      </w:pPr>
      <w:r>
        <w:t>a juror or prospective juror in state court;</w:t>
      </w:r>
    </w:p>
    <w:p>
      <w:pPr>
        <w:pStyle w:val="Normal"/>
        <w:spacing w:line="432" w:lineRule="auto"/>
      </w:pPr>
      <w:r>
        <w:t>a traveler or user of any facility of interstate commerce or common carrier; or</w:t>
      </w:r>
    </w:p>
    <w:p>
      <w:pPr>
        <w:pStyle w:val="Normal"/>
        <w:spacing w:line="432" w:lineRule="auto"/>
      </w:pPr>
      <w:r>
        <w:t>a patron of any public accommodation, including hotels, motels, restaurants, lunchrooms, bars, gas stations, theaters...or any other establishment which serves the public and which is principally engaged in selling food or beverages for consumption on the premises.</w:t>
      </w:r>
    </w:p>
    <w:p>
      <w:pPr>
        <w:pStyle w:val="Normal"/>
        <w:spacing w:line="432" w:lineRule="auto"/>
      </w:pPr>
      <w:r>
        <w:t>3) Prohibits interference by force or threat of force against any person because he/she is or has been, or in order to intimidate such person or any other person or class of persons from participating or affording others the opportunity or protection to so participate, or lawfully aiding or encouraging other persons to participate in any of the benefits or activities listed in items (1) and (2), above without discrimination as to race, color, religion, or national origin.</w:t>
      </w:r>
    </w:p>
    <w:p>
      <w:pPr>
        <w:pStyle w:val="Normal"/>
        <w:spacing w:line="432" w:lineRule="auto"/>
      </w:pPr>
      <w:r/>
    </w:p>
    <w:p>
      <w:pPr>
        <w:pStyle w:val="Normal"/>
        <w:spacing w:line="432" w:lineRule="auto"/>
      </w:pPr>
      <w:r>
        <w:t>Punishment varies from a fine or imprisonment of up to one year, or both, and if bodily injury results or if such acts include the use, attempted use, or threatened use of a dangerous weapon, explosives, or fire shall be fined or imprisoned up to ten years or both, and if death results or if such acts include kidnapping or an attempt to kidnap, aggravated sexual abuse or an attempt to commit aggravated sexual abuse, or an attempt to kill, shall be subject to imprisonment for any term of years or for life or may be sentenced to death.</w:t>
      </w:r>
    </w:p>
    <w:p>
      <w:pPr>
        <w:pStyle w:val="Normal"/>
        <w:spacing w:line="432" w:lineRule="auto"/>
      </w:pPr>
      <w:r/>
    </w:p>
    <w:p>
      <w:pPr>
        <w:pStyle w:val="Normal"/>
        <w:spacing w:line="432" w:lineRule="auto"/>
      </w:pPr>
      <w:r/>
    </w:p>
    <w:p>
      <w:pPr>
        <w:pStyle w:val="Normal"/>
        <w:spacing w:line="432" w:lineRule="auto"/>
      </w:pPr>
      <w:r/>
    </w:p>
    <w:p>
      <w:pPr>
        <w:pStyle w:val="Normal"/>
        <w:spacing w:line="432" w:lineRule="auto"/>
      </w:pPr>
      <w:r>
        <w:t>(June 25, 1948, ch. 645, 62 Stat. 753; Pub. L. 103–322, title XXXIII, § 330016(1)(I), Sept. 13, 1994, 108 Stat. 2147.)</w:t>
      </w:r>
    </w:p>
    <w:p>
      <w:pPr>
        <w:pStyle w:val="Normal"/>
        <w:spacing w:line="432" w:lineRule="auto"/>
      </w:pPr>
      <w:r/>
    </w:p>
    <w:p>
      <w:pPr>
        <w:pStyle w:val="Normal"/>
        <w:spacing w:line="432" w:lineRule="auto"/>
      </w:pPr>
      <w:r/>
    </w:p>
    <w:p>
      <w:pPr>
        <w:pStyle w:val="Normal"/>
        <w:spacing w:line="432" w:lineRule="auto"/>
      </w:pPr>
      <w:r/>
    </w:p>
    <w:p>
      <w:pPr>
        <w:pStyle w:val="Normal"/>
        <w:spacing w:line="432" w:lineRule="auto"/>
      </w:pPr>
      <w:r>
        <w:rPr/>
        <w:tab/>
        <w:t>g.</w:t>
      </w:r>
      <w:r>
        <w:rPr/>
        <w:tab/>
        <w:t xml:space="preserve">State whether the alleged predicate acts relate to each other as part of a common plan.  If so, describe the alleged relationship and common plan in detail.  Title 18, U.S.C., Section 248 - Freedom of Access to Clinic Entrances (FACE) Act </w:t>
      </w:r>
    </w:p>
    <w:p>
      <w:pPr>
        <w:pStyle w:val="Normal"/>
        <w:spacing w:line="432" w:lineRule="auto"/>
      </w:pPr>
      <w:r>
        <w:t>This statute prohibits (1) the use of force or threat of force or physical obstruction, to intentionally injure, intimidate or interfere with or attempt to injure, intimidate or interfere with any person or any class of persons from obtaining or providing reproductive health services; (2) the use of force or threat of force or physical obstruction to intentionally injure, intimidate, or interfere with or attempt to injure, intimidate, or interfere with any person lawfully exercising or seeking to exercise the First Amendment right of religious freedom at a place of religious worship; or (3) intentionally damages or destroys the property of a facility, or attempts to do so, because such facility provides reproductive health services or intentionally damages or destroys the property of a place of religious worship. This statute does not apply to speech or expressive conduct protected by the First Amendment. Non obstructive demonstrations are legal.</w:t>
      </w:r>
    </w:p>
    <w:p>
      <w:pPr>
        <w:pStyle w:val="Normal"/>
        <w:spacing w:line="432" w:lineRule="auto"/>
      </w:pPr>
      <w:r/>
    </w:p>
    <w:p>
      <w:pPr>
        <w:pStyle w:val="Normal"/>
        <w:spacing w:line="432" w:lineRule="auto"/>
      </w:pPr>
      <w:r>
        <w:t>Punishment varies from a fine or imprisonment for an offense involving exclusively a nonviolent physical obstruction, the fine shall be not more than $10,000 and the length of imprisonment shall be up to six months, or both, for the first offense: and the fine shall, notwithstanding section 3571, be up to $25,000 and the length of imprisonment shall be not more than 18 months, or both, for a subsequent offense; and if bodily injury results, the length of imprisonment shall be up to ten years, and if death results, it shall be for any term of years or for life.</w:t>
      </w:r>
    </w:p>
    <w:p>
      <w:pPr>
        <w:pStyle w:val="Normal"/>
        <w:spacing w:line="432" w:lineRule="auto"/>
      </w:pPr>
      <w:r/>
    </w:p>
    <w:p>
      <w:pPr>
        <w:pStyle w:val="Normal"/>
        <w:spacing w:line="432" w:lineRule="auto"/>
      </w:pPr>
      <w:r/>
    </w:p>
    <w:p>
      <w:pPr>
        <w:pStyle w:val="Normal"/>
        <w:spacing w:line="432" w:lineRule="auto"/>
      </w:pPr>
      <w:r/>
    </w:p>
    <w:p>
      <w:pPr>
        <w:pStyle w:val="Normal"/>
        <w:spacing w:line="432" w:lineRule="auto"/>
      </w:pPr>
      <w:r/>
    </w:p>
    <w:p>
      <w:pPr>
        <w:pStyle w:val="Normal"/>
        <w:spacing w:line="432" w:lineRule="auto"/>
      </w:pPr>
      <w:r>
        <w:rPr/>
        <w:tab/>
        <w:t>6.</w:t>
      </w:r>
      <w:r>
        <w:rPr/>
        <w:tab/>
        <w:t>Describe in detail the alleged “enterprise” for each RICO claim.  A description of the enterprise shall include the following: (a) the names of individuals, partnerships, corporations, associations, or other legal entities which allegedly constitute the enterprise; (b) a description of the structure, purpose, function, and course of conduct of the enterprise; (c) a statement of whether any defendant is an employee, officer, or director of the alleged enterprise; (d) a statement of whether any defendant is associated with the alleged enterprise; (e) a statement of whether plaintiff is alleging that any defendant is an individual or entity separate from the alleged enterprise or that any defendant is the enterprise itself, or a member of the enterprise; (f) if any defendant is alleged to be the enterprise itself, or a member of the enterprise, an explanation of whether such defendant is a perpetrator, a passive instrument, or a victim of the alleged racketeering activity.</w:t>
      </w:r>
    </w:p>
    <w:p>
      <w:pPr>
        <w:pStyle w:val="Normal"/>
        <w:spacing w:line="432" w:lineRule="auto"/>
      </w:pPr>
      <w:r/>
    </w:p>
    <w:p>
      <w:pPr>
        <w:pStyle w:val="Normal"/>
        <w:spacing w:line="432" w:lineRule="auto"/>
        <w:rPr>
          <w:b/>
        </w:rPr>
      </w:pPr>
      <w:r>
        <w:rPr>
          <w:b/>
        </w:rPr>
        <w:t xml:space="preserve">Title 42, U.S.C., Section 3631 - Criminal Interference with Right to Fair Housing </w:t>
      </w:r>
    </w:p>
    <w:p>
      <w:pPr>
        <w:pStyle w:val="Normal"/>
        <w:spacing w:line="432" w:lineRule="auto"/>
      </w:pPr>
      <w:r>
        <w:t>This statute makes it unlawful for any individual(s), by the use of force or threatened use of force, to injure, intimidate, or interfere with (or attempt to injure, intimidate, or interfere with), any person's housing rights because of that person's race, color, religion, sex, handicap, familial status or national origin. Among those housing rights enumerated in the statute are:</w:t>
      </w:r>
    </w:p>
    <w:p>
      <w:pPr>
        <w:pStyle w:val="Normal"/>
        <w:spacing w:line="432" w:lineRule="auto"/>
      </w:pPr>
      <w:r/>
    </w:p>
    <w:p>
      <w:pPr>
        <w:pStyle w:val="Normal"/>
        <w:numPr>
          <w:ilvl w:val="0"/>
          <w:numId w:val="10121982"/>
        </w:numPr>
        <w:spacing w:line="432" w:lineRule="auto"/>
      </w:pPr>
      <w:r>
        <w:t>The sale, purchase, or renting of a dwelling;</w:t>
      </w:r>
    </w:p>
    <w:p>
      <w:pPr>
        <w:pStyle w:val="Normal"/>
        <w:numPr>
          <w:ilvl w:val="0"/>
          <w:numId w:val="10121982"/>
        </w:numPr>
        <w:spacing w:line="432" w:lineRule="auto"/>
      </w:pPr>
      <w:r>
        <w:t>the occupation of a dwelling;</w:t>
      </w:r>
    </w:p>
    <w:p>
      <w:pPr>
        <w:pStyle w:val="Normal"/>
        <w:numPr>
          <w:ilvl w:val="0"/>
          <w:numId w:val="10121982"/>
        </w:numPr>
        <w:spacing w:line="432" w:lineRule="auto"/>
      </w:pPr>
      <w:r>
        <w:t>the financing of a dwelling;</w:t>
      </w:r>
    </w:p>
    <w:p>
      <w:pPr>
        <w:pStyle w:val="Normal"/>
        <w:numPr>
          <w:ilvl w:val="0"/>
          <w:numId w:val="10121982"/>
        </w:numPr>
        <w:spacing w:line="432" w:lineRule="auto"/>
      </w:pPr>
      <w:r>
        <w:t>contracting or negotiating for any of the rights enumerated above;</w:t>
      </w:r>
    </w:p>
    <w:p>
      <w:pPr>
        <w:pStyle w:val="Normal"/>
        <w:spacing w:line="432" w:lineRule="auto"/>
      </w:pPr>
      <w:r>
        <w:t>applying for or participating in any service, organization, or facility relating to the sale or rental of dwellings.</w:t>
      </w:r>
    </w:p>
    <w:p>
      <w:pPr>
        <w:pStyle w:val="Normal"/>
        <w:spacing w:line="432" w:lineRule="auto"/>
      </w:pPr>
      <w:r>
        <w:t>This statute also makes it unlawful by the use of force or threatened use of force, to injure, intimidate, or interfere with any person who is assisting an individual or class of persons in the exercise of their housing rights.</w:t>
      </w:r>
    </w:p>
    <w:p>
      <w:pPr>
        <w:pStyle w:val="Normal"/>
        <w:spacing w:line="432" w:lineRule="auto"/>
      </w:pPr>
      <w:r/>
    </w:p>
    <w:p>
      <w:pPr>
        <w:pStyle w:val="Normal"/>
        <w:spacing w:line="432" w:lineRule="auto"/>
      </w:pPr>
      <w:r>
        <w:t>Punishment varies from a fine of up to $1,000 or imprisonment of up to one year, or both, and if bodily injury results, shall be fined up to $10,000 or imprisoned up to ten years, or both, and if death results, shall be subject to imprisonment for any term of years or for life.</w:t>
      </w:r>
    </w:p>
    <w:p>
      <w:pPr>
        <w:pStyle w:val="Normal"/>
        <w:spacing w:line="432" w:lineRule="auto"/>
      </w:pPr>
      <w:r>
        <w:rPr/>
        <w:tab/>
        <w:t>7.</w:t>
      </w:r>
      <w:r>
        <w:rPr/>
        <w:tab/>
        <w:t>State and describe in detail whether plaintiff is alleging that the pattern of racketeering activity and the enterprise are separate or have merged into one entity.</w:t>
      </w:r>
    </w:p>
    <w:p>
      <w:pPr>
        <w:pStyle w:val="Normal"/>
        <w:spacing w:line="432" w:lineRule="auto"/>
      </w:pPr>
      <w:r/>
    </w:p>
    <w:p>
      <w:pPr>
        <w:pStyle w:val="Normal"/>
        <w:spacing w:line="432" w:lineRule="auto"/>
      </w:pPr>
      <w:r>
        <w:t xml:space="preserve">itle </w:t>
      </w:r>
      <w:r>
        <w:rPr>
          <w:b/>
        </w:rPr>
        <w:t xml:space="preserve">42, U.S.C., Section 14141 - Pattern and Practice </w:t>
      </w:r>
    </w:p>
    <w:p>
      <w:pPr>
        <w:pStyle w:val="Normal"/>
        <w:spacing w:line="432" w:lineRule="auto"/>
      </w:pPr>
      <w:r>
        <w:t>This civil statute was a provision within the Crime Control Act of 1994 and makes it unlawful for any governmental authority, or agent thereof, or any person acting on behalf of a governmental authority, to engage in a pattern or practice of conduct by law enforcement officers or by officials or employees of any governmental agency with responsibility for the administration of juvenile justice or the incarceration of juveniles that deprives persons of rights, privileges, or immunities secured or protected by the Constitution or laws of the United States.</w:t>
      </w:r>
    </w:p>
    <w:p>
      <w:pPr>
        <w:pStyle w:val="Normal"/>
        <w:spacing w:line="432" w:lineRule="auto"/>
      </w:pPr>
      <w:r/>
    </w:p>
    <w:p>
      <w:pPr>
        <w:pStyle w:val="Normal"/>
        <w:spacing w:line="432" w:lineRule="auto"/>
      </w:pPr>
      <w:r>
        <w:t>Whenever the Attorney General has reasonable cause to believe that a violation has occurred, the Attorney General, for or in the name of the United States, may in a civil action obtain appropriate equitable and declaratory relief to eliminate the pattern or practice.</w:t>
      </w:r>
    </w:p>
    <w:p>
      <w:pPr>
        <w:pStyle w:val="Normal"/>
        <w:spacing w:line="432" w:lineRule="auto"/>
      </w:pPr>
      <w:r/>
    </w:p>
    <w:p>
      <w:pPr>
        <w:pStyle w:val="Normal"/>
        <w:spacing w:line="432" w:lineRule="auto"/>
      </w:pPr>
      <w:r>
        <w:t>Types of misconduct covered include, among other things:</w:t>
      </w:r>
    </w:p>
    <w:p>
      <w:pPr>
        <w:pStyle w:val="Normal"/>
        <w:spacing w:line="432" w:lineRule="auto"/>
      </w:pPr>
      <w:r/>
    </w:p>
    <w:p>
      <w:pPr>
        <w:pStyle w:val="Normal"/>
        <w:spacing w:line="432" w:lineRule="auto"/>
      </w:pPr>
      <w:r>
        <w:t>Excessive Force</w:t>
      </w:r>
    </w:p>
    <w:p>
      <w:pPr>
        <w:pStyle w:val="Normal"/>
        <w:spacing w:line="432" w:lineRule="auto"/>
      </w:pPr>
      <w:r>
        <w:t>Discriminatory Harassment</w:t>
      </w:r>
    </w:p>
    <w:p>
      <w:pPr>
        <w:pStyle w:val="Normal"/>
        <w:spacing w:line="432" w:lineRule="auto"/>
      </w:pPr>
      <w:r>
        <w:t>False Arrest</w:t>
      </w:r>
    </w:p>
    <w:p>
      <w:pPr>
        <w:pStyle w:val="Normal"/>
        <w:spacing w:line="432" w:lineRule="auto"/>
      </w:pPr>
      <w:r>
        <w:t>Coercive Sexual Conduct</w:t>
      </w:r>
    </w:p>
    <w:p>
      <w:pPr>
        <w:pStyle w:val="Normal"/>
        <w:spacing w:line="432" w:lineRule="auto"/>
      </w:pPr>
      <w:r>
        <w:t>Unlawful Stops, Searches, or Arrests</w:t>
      </w:r>
    </w:p>
    <w:p>
      <w:pPr>
        <w:pStyle w:val="Normal"/>
        <w:spacing w:line="432" w:lineRule="auto"/>
      </w:pPr>
      <w:r>
        <w:rPr/>
        <w:tab/>
        <w:t>8.</w:t>
      </w:r>
      <w:r>
        <w:rPr/>
        <w:tab/>
        <w:t>Describe the alleged relationship between the activities of the enterprise and the pattern of racketeering activity.  Discuss how the racketeering activity differs from the usual daily activities of the enterprise, if at all.</w:t>
      </w:r>
    </w:p>
    <w:p>
      <w:pPr>
        <w:pStyle w:val="Normal"/>
        <w:spacing w:line="432" w:lineRule="auto"/>
      </w:pPr>
      <w:r>
        <w:rPr/>
        <w:tab/>
        <w:t>9.</w:t>
      </w:r>
      <w:r>
        <w:rPr/>
        <w:tab/>
        <w:t>Describe what benefits, if any, the alleged enterprise receives from the alleged pattern of racketeering.</w:t>
      </w:r>
    </w:p>
    <w:p>
      <w:pPr>
        <w:pStyle w:val="Normal"/>
        <w:spacing w:line="432" w:lineRule="auto"/>
      </w:pPr>
      <w:r>
        <w:rPr/>
        <w:tab/>
        <w:t>10.</w:t>
      </w:r>
      <w:r>
        <w:rPr/>
        <w:tab/>
        <w:t>Describe the effect of the activities on the enterprise on interstate or foreign commerce.</w:t>
      </w:r>
    </w:p>
    <w:p>
      <w:pPr>
        <w:pStyle w:val="Normal"/>
        <w:spacing w:line="432" w:lineRule="auto"/>
      </w:pPr>
      <w:r>
        <w:rPr/>
        <w:tab/>
        <w:t>11.</w:t>
      </w:r>
      <w:r>
        <w:rPr/>
        <w:tab/>
        <w:t>If the complaint alleges a violation of 18 U.S.C. § 1962(a):</w:t>
      </w:r>
    </w:p>
    <w:p>
      <w:pPr>
        <w:pStyle w:val="Normal"/>
        <w:spacing w:line="432" w:lineRule="auto"/>
      </w:pPr>
      <w:r>
        <w:rPr/>
        <w:tab/>
        <w:t>a.</w:t>
      </w:r>
      <w:r>
        <w:rPr/>
        <w:tab/>
        <w:t xml:space="preserve">State who received the income derived from the pattern of racketeering activity or through the collection of unlawful debt; and </w:t>
      </w:r>
    </w:p>
    <w:p>
      <w:pPr>
        <w:pStyle w:val="Normal"/>
        <w:spacing w:line="432" w:lineRule="auto"/>
      </w:pPr>
      <w:r>
        <w:rPr/>
        <w:tab/>
        <w:t>b.</w:t>
      </w:r>
      <w:r>
        <w:rPr/>
        <w:tab/>
        <w:t>Describe the use or investment of such income.</w:t>
      </w:r>
    </w:p>
    <w:p>
      <w:pPr>
        <w:pStyle w:val="Normal"/>
        <w:spacing w:line="432" w:lineRule="auto"/>
      </w:pPr>
      <w:r>
        <w:rPr/>
        <w:tab/>
        <w:t>12.</w:t>
      </w:r>
      <w:r>
        <w:rPr/>
        <w:tab/>
        <w:t>If the complaint alleges a violation of 18 U.S.C. § 1962(b), describe in detail the acquisition or maintenance of any interest in or control of the alleged enterprise.</w:t>
      </w:r>
    </w:p>
    <w:p>
      <w:pPr>
        <w:pStyle w:val="Normal"/>
        <w:spacing w:line="432" w:lineRule="auto"/>
      </w:pPr>
      <w:r>
        <w:rPr/>
        <w:tab/>
        <w:t>13.</w:t>
      </w:r>
      <w:r>
        <w:rPr/>
        <w:tab/>
        <w:t>If the complaint alleges a violation of 18 U.S.C. § 1962(c):</w:t>
      </w:r>
    </w:p>
    <w:p>
      <w:pPr>
        <w:pStyle w:val="Normal"/>
        <w:spacing w:line="432" w:lineRule="auto"/>
      </w:pPr>
      <w:r>
        <w:rPr/>
        <w:tab/>
        <w:t>a.</w:t>
      </w:r>
      <w:r>
        <w:rPr/>
        <w:tab/>
        <w:t>State who is employed by or associated with the alleged enterprise; and</w:t>
      </w:r>
    </w:p>
    <w:p>
      <w:pPr>
        <w:pStyle w:val="Normal"/>
        <w:spacing w:line="432" w:lineRule="auto"/>
      </w:pPr>
      <w:r>
        <w:rPr/>
        <w:tab/>
        <w:t>b.</w:t>
      </w:r>
      <w:r>
        <w:rPr/>
        <w:tab/>
        <w:t>State whether the same entity is both the liable “person” and the “enterprise” under § 1962(c).</w:t>
      </w:r>
    </w:p>
    <w:p>
      <w:pPr>
        <w:pStyle w:val="Normal"/>
        <w:spacing w:line="432" w:lineRule="auto"/>
      </w:pPr>
      <w:r>
        <w:rPr/>
        <w:tab/>
        <w:t>14.</w:t>
      </w:r>
      <w:r>
        <w:rPr/>
        <w:tab/>
        <w:t>If the complaint alleges a violation of 18 U.S.C. § 1962(d), describe in detail the facts showing the existence of the alleged conspiracy.</w:t>
      </w:r>
    </w:p>
    <w:p>
      <w:pPr>
        <w:pStyle w:val="Normal"/>
        <w:spacing w:line="432" w:lineRule="auto"/>
      </w:pPr>
      <w:r>
        <w:rPr/>
        <w:tab/>
        <w:t>15.</w:t>
      </w:r>
      <w:r>
        <w:rPr/>
        <w:tab/>
        <w:t>Describe the alleged injury to business or property.</w:t>
      </w:r>
    </w:p>
    <w:p>
      <w:pPr>
        <w:pStyle w:val="Normal"/>
        <w:spacing w:line="432" w:lineRule="auto"/>
      </w:pPr>
      <w:r>
        <w:rPr/>
        <w:tab/>
        <w:t>16.</w:t>
      </w:r>
      <w:r>
        <w:rPr/>
        <w:tab/>
        <w:t>Describe the direct causal relationship between the alleged injury and the violation of the RICO statute.</w:t>
      </w:r>
    </w:p>
    <w:p>
      <w:pPr>
        <w:pStyle w:val="Normal"/>
        <w:spacing w:line="432" w:lineRule="auto"/>
      </w:pPr>
      <w:r>
        <w:rPr/>
        <w:tab/>
        <w:t>17.</w:t>
      </w:r>
      <w:r>
        <w:rPr/>
        <w:tab/>
        <w:t>List the damages sustained by reason of the violation of 18 U.S.C. § 1962, indicating the amount for which each defendant is allegedly liable.</w:t>
      </w:r>
    </w:p>
    <w:p>
      <w:pPr>
        <w:pStyle w:val="Normal"/>
        <w:spacing w:line="432" w:lineRule="auto"/>
      </w:pPr>
      <w:r>
        <w:rPr/>
        <w:tab/>
        <w:t>18.</w:t>
      </w:r>
      <w:r>
        <w:rPr/>
        <w:tab/>
        <w:t>List all other federal causes of action, if any, and provide the relevant statute numbers.</w:t>
      </w:r>
    </w:p>
    <w:p>
      <w:pPr>
        <w:pStyle w:val="Normal"/>
        <w:spacing w:line="432" w:lineRule="auto"/>
      </w:pPr>
      <w:r>
        <w:rPr/>
        <w:tab/>
        <w:t>19.</w:t>
      </w:r>
      <w:r>
        <w:rPr/>
        <w:tab/>
        <w:t>List all state claims in the case pursuant to supplemental jurisdiction, if any.</w:t>
      </w:r>
    </w:p>
    <w:p>
      <w:pPr>
        <w:pStyle w:val="Normal"/>
        <w:spacing w:line="432" w:lineRule="auto"/>
      </w:pPr>
      <w:r>
        <w:rPr/>
        <w:tab/>
        <w:t>20.</w:t>
      </w:r>
      <w:r>
        <w:rPr/>
        <w:tab/>
        <w:t>Provide a brief outline of any additional information that you feel would be helpful to the court in processing your RICO claims.</w:t>
      </w:r>
    </w:p>
    <w:p>
      <w:pPr>
        <w:pStyle w:val="Normal"/>
      </w:pPr>
      <w:r>
        <w:rPr/>
        <w:tab/>
        <w:t>DATED:  ___________________</w:t>
      </w:r>
    </w:p>
    <w:p>
      <w:pPr>
        <w:pStyle w:val="Normal"/>
      </w:pPr>
    </w:p>
    <w:p>
      <w:pPr>
        <w:pStyle w:val="Normal"/>
      </w:pPr>
      <w:r>
        <w:rPr/>
        <w:tab/>
      </w:r>
      <w:r>
        <w:rPr/>
        <w:tab/>
      </w:r>
      <w:r>
        <w:rPr/>
        <w:tab/>
      </w:r>
      <w:r>
        <w:rPr/>
        <w:tab/>
      </w:r>
      <w:r>
        <w:rPr/>
        <w:tab/>
      </w:r>
      <w:r>
        <w:rPr/>
        <w:tab/>
      </w:r>
      <w:r>
        <w:rPr/>
        <w:tab/>
      </w:r>
      <w:r>
        <w:rPr>
          <w:u w:val="single"/>
        </w:rPr>
        <w:t>_______________________</w:t>
      </w:r>
    </w:p>
    <w:p>
      <w:pPr>
        <w:pStyle w:val="Normal"/>
      </w:pPr>
      <w:r>
        <w:rPr/>
        <w:tab/>
      </w:r>
      <w:r>
        <w:rPr/>
        <w:tab/>
      </w:r>
      <w:r>
        <w:rPr/>
        <w:tab/>
      </w:r>
      <w:r>
        <w:rPr/>
        <w:tab/>
      </w:r>
      <w:r>
        <w:rPr/>
        <w:tab/>
      </w:r>
      <w:r>
        <w:rPr/>
        <w:tab/>
      </w:r>
      <w:r>
        <w:rPr/>
        <w:tab/>
        <w:t>Attorney for Plaintiff(s)</w:t>
      </w:r>
      <w:r>
        <w:rPr/>
        <w:tab/>
      </w:r>
    </w:p>
    <w:sectPr>
      <w:pgSz w:w="12240" w:h="15840"/>
      <w:pgMar w:left="1872" w:right="990" w:top="1920" w:bottom="1920"/>
      <w:type w:val="continuous"/>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Symbol"/>
  <w:font w:name="Arial"/>
  <w:font w:name="Cambria Math"/>
  <w:font w:name="Calibri"/>
  <w:font w:name="Cambria"/>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1080"/>
      </w:pPr>
      <w:rPr>
        <w:rFonts w:ascii="Courier New" w:hAnsi="Courier New"/>
      </w:rPr>
    </w:lvl>
    <w:lvl w:ilvl="2">
      <w:numFmt w:val="bullet"/>
      <w:lvlText w:val=""/>
      <w:start w:val="0"/>
      <w:lvlJc w:val="left"/>
      <w:pPr>
        <w:ind w:left="2160"/>
        <w:ind w:hanging="1800"/>
      </w:pPr>
      <w:rPr/>
    </w:lvl>
    <w:lvl w:ilvl="3">
      <w:numFmt w:val="bullet"/>
      <w:lvlText w:val=""/>
      <w:start w:val="0"/>
      <w:lvlJc w:val="left"/>
      <w:pPr>
        <w:ind w:left="2880"/>
        <w:ind w:hanging="2520"/>
      </w:pPr>
      <w:rPr>
        <w:rFonts w:ascii="Symbol" w:hAnsi="Symbol"/>
      </w:rPr>
    </w:lvl>
    <w:lvl w:ilvl="4">
      <w:numFmt w:val="bullet"/>
      <w:lvlText w:val="o"/>
      <w:start w:val="0"/>
      <w:lvlJc w:val="left"/>
      <w:pPr>
        <w:ind w:left="3600"/>
        <w:ind w:hanging="3240"/>
      </w:pPr>
      <w:rPr>
        <w:rFonts w:ascii="Courier New" w:hAnsi="Courier New"/>
      </w:rPr>
    </w:lvl>
    <w:lvl w:ilvl="5">
      <w:numFmt w:val="bullet"/>
      <w:lvlText w:val=""/>
      <w:start w:val="0"/>
      <w:lvlJc w:val="left"/>
      <w:pPr>
        <w:ind w:left="4320"/>
        <w:ind w:hanging="3960"/>
      </w:pPr>
      <w:rPr/>
    </w:lvl>
    <w:lvl w:ilvl="6">
      <w:numFmt w:val="bullet"/>
      <w:lvlText w:val=""/>
      <w:start w:val="0"/>
      <w:lvlJc w:val="left"/>
      <w:pPr>
        <w:ind w:left="5040"/>
        <w:ind w:hanging="4680"/>
      </w:pPr>
      <w:rPr>
        <w:rFonts w:ascii="Symbol" w:hAnsi="Symbol"/>
      </w:rPr>
    </w:lvl>
    <w:lvl w:ilvl="7">
      <w:numFmt w:val="bullet"/>
      <w:lvlText w:val="o"/>
      <w:start w:val="0"/>
      <w:lvlJc w:val="left"/>
      <w:pPr>
        <w:ind w:left="5760"/>
        <w:ind w:hanging="5400"/>
      </w:pPr>
      <w:rPr>
        <w:rFonts w:ascii="Courier New" w:hAnsi="Courier New"/>
      </w:rPr>
    </w:lvl>
    <w:lvl w:ilvl="8">
      <w:numFmt w:val="bullet"/>
      <w:lvlText w:val=""/>
      <w:start w:val="0"/>
      <w:lvlJc w:val="left"/>
      <w:pPr>
        <w:ind w:left="6480"/>
        <w:ind w:hanging="6120"/>
      </w:pPr>
      <w:rPr/>
    </w:lvl>
  </w:abstractNum>
  <w:abstractNum w:abstractNumId="10121983">
    <w:multiLevelType w:val="hybridMultilevel"/>
    <w:lvl w:ilvl="0">
      <w:numFmt w:val="decimal"/>
      <w:lvlText w:val="%1."/>
      <w:start w:val="1"/>
      <w:lvlJc w:val="left"/>
      <w:pPr>
        <w:ind w:left="720"/>
        <w:ind w:hanging="360"/>
      </w:pPr>
    </w:lvl>
    <w:lvl w:ilvl="1">
      <w:numFmt w:val="decimal"/>
      <w:lvlText w:val="%2."/>
      <w:start w:val="1"/>
      <w:lvlJc w:val="left"/>
      <w:pPr>
        <w:ind w:left="1440"/>
        <w:ind w:hanging="1080"/>
      </w:pPr>
    </w:lvl>
    <w:lvl w:ilvl="2">
      <w:numFmt w:val="decimal"/>
      <w:lvlText w:val="%3."/>
      <w:start w:val="1"/>
      <w:lvlJc w:val="left"/>
      <w:pPr>
        <w:ind w:left="2160"/>
        <w:ind w:hanging="1980"/>
      </w:pPr>
    </w:lvl>
    <w:lvl w:ilvl="3">
      <w:numFmt w:val="decimal"/>
      <w:lvlText w:val="%4."/>
      <w:start w:val="1"/>
      <w:lvlJc w:val="left"/>
      <w:pPr>
        <w:ind w:left="2880"/>
        <w:ind w:hanging="2520"/>
      </w:pPr>
    </w:lvl>
    <w:lvl w:ilvl="4">
      <w:numFmt w:val="decimal"/>
      <w:lvlText w:val="%5."/>
      <w:start w:val="1"/>
      <w:lvlJc w:val="left"/>
      <w:pPr>
        <w:ind w:left="3600"/>
        <w:ind w:hanging="3240"/>
      </w:pPr>
    </w:lvl>
    <w:lvl w:ilvl="5">
      <w:numFmt w:val="decimal"/>
      <w:lvlText w:val="%6."/>
      <w:start w:val="1"/>
      <w:lvlJc w:val="left"/>
      <w:pPr>
        <w:ind w:left="4320"/>
        <w:ind w:hanging="4140"/>
      </w:pPr>
    </w:lvl>
    <w:lvl w:ilvl="6">
      <w:numFmt w:val="decimal"/>
      <w:lvlText w:val="%7."/>
      <w:start w:val="1"/>
      <w:lvlJc w:val="left"/>
      <w:pPr>
        <w:ind w:left="5040"/>
        <w:ind w:hanging="4680"/>
      </w:pPr>
    </w:lvl>
    <w:lvl w:ilvl="7">
      <w:numFmt w:val="decimal"/>
      <w:lvlText w:val="%8."/>
      <w:start w:val="1"/>
      <w:lvlJc w:val="left"/>
      <w:pPr>
        <w:ind w:left="5760"/>
        <w:ind w:hanging="5400"/>
      </w:pPr>
    </w:lvl>
    <w:lvl w:ilvl="8">
      <w:numFmt w:val="decimal"/>
      <w:lvlText w:val="%9."/>
      <w:start w:val="1"/>
      <w:lvlJc w:val="left"/>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evenAndOddHeaders/>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rPr>
    </w:r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default="1" w:styleId="Normal">
    <w:name w:val="Normal"/>
    <w:qFormat/>
    <w:pPr/>
    <w:rPr>
      <w:sz w:val="24"/>
    </w:rPr>
  </w:style>
  <w:style w:type="character" w:styleId="DefaultParagraphFont">
    <w:name w:val="Default Paragraph Font"/>
    <w:qFormat/>
  </w:style>
  <w:style w:type="table" w:styleId="TableNormal">
    <w:name w:val="Table Normal"/>
    <w:qFormat/>
    <w:pPr/>
    <w:tblPr>
      <w:tblStyle w:val="TableNormal"/>
      <w:tblLook w:val="1E0"/>
    </w:tblPr>
  </w:style>
  <w:style w:type="numbering" w:styleId="NoList">
    <w:name w:val="No List"/>
    <w:qFormat/>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